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0E1" w:rsidRPr="009A477D" w:rsidRDefault="000B5440" w:rsidP="000630E1">
      <w:pPr>
        <w:pStyle w:val="PortadaSubtitulo"/>
        <w:jc w:val="left"/>
        <w:rPr>
          <w:lang w:val="es-ES"/>
        </w:rPr>
      </w:pPr>
      <w:bookmarkStart w:id="0" w:name="_Toc472941121"/>
      <w:bookmarkStart w:id="1" w:name="_Toc479087111"/>
      <w:bookmarkStart w:id="2" w:name="_GoBack"/>
      <w:bookmarkEnd w:id="2"/>
      <w:r>
        <w:rPr>
          <w:noProof/>
          <w:lang w:val="es-ES"/>
        </w:rPr>
        <w:drawing>
          <wp:anchor distT="0" distB="0" distL="114300" distR="114300" simplePos="0" relativeHeight="251658240" behindDoc="0" locked="0" layoutInCell="1" allowOverlap="1">
            <wp:simplePos x="0" y="0"/>
            <wp:positionH relativeFrom="column">
              <wp:posOffset>-1177116</wp:posOffset>
            </wp:positionH>
            <wp:positionV relativeFrom="paragraph">
              <wp:posOffset>-1646963</wp:posOffset>
            </wp:positionV>
            <wp:extent cx="7644072" cy="10717534"/>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borrado-seguro.jpg"/>
                    <pic:cNvPicPr/>
                  </pic:nvPicPr>
                  <pic:blipFill>
                    <a:blip r:embed="rId8">
                      <a:extLst>
                        <a:ext uri="{28A0092B-C50C-407E-A947-70E740481C1C}">
                          <a14:useLocalDpi xmlns:a14="http://schemas.microsoft.com/office/drawing/2010/main" val="0"/>
                        </a:ext>
                      </a:extLst>
                    </a:blip>
                    <a:stretch>
                      <a:fillRect/>
                    </a:stretch>
                  </pic:blipFill>
                  <pic:spPr>
                    <a:xfrm>
                      <a:off x="0" y="0"/>
                      <a:ext cx="7652071" cy="10728749"/>
                    </a:xfrm>
                    <a:prstGeom prst="rect">
                      <a:avLst/>
                    </a:prstGeom>
                  </pic:spPr>
                </pic:pic>
              </a:graphicData>
            </a:graphic>
            <wp14:sizeRelH relativeFrom="margin">
              <wp14:pctWidth>0</wp14:pctWidth>
            </wp14:sizeRelH>
            <wp14:sizeRelV relativeFrom="margin">
              <wp14:pctHeight>0</wp14:pctHeight>
            </wp14:sizeRelV>
          </wp:anchor>
        </w:drawing>
      </w:r>
    </w:p>
    <w:p w:rsidR="000630E1" w:rsidRPr="005434AD" w:rsidRDefault="000630E1" w:rsidP="000630E1">
      <w:pPr>
        <w:sectPr w:rsidR="000630E1" w:rsidRPr="005434AD" w:rsidSect="000A5DF6">
          <w:headerReference w:type="default" r:id="rId9"/>
          <w:footerReference w:type="default" r:id="rId10"/>
          <w:headerReference w:type="first" r:id="rId11"/>
          <w:footerReference w:type="first" r:id="rId12"/>
          <w:pgSz w:w="11906" w:h="16838" w:code="9"/>
          <w:pgMar w:top="2552" w:right="1418" w:bottom="851" w:left="1701" w:header="709" w:footer="454" w:gutter="0"/>
          <w:cols w:space="708"/>
          <w:titlePg/>
          <w:docGrid w:linePitch="360"/>
        </w:sectPr>
      </w:pPr>
    </w:p>
    <w:p w:rsidR="000630E1" w:rsidRDefault="000630E1" w:rsidP="000630E1">
      <w:pPr>
        <w:pStyle w:val="Indice"/>
      </w:pPr>
      <w:bookmarkStart w:id="3" w:name="_Toc408386624"/>
      <w:bookmarkStart w:id="4" w:name="_Toc410031779"/>
      <w:bookmarkStart w:id="5" w:name="_Toc410845007"/>
      <w:r w:rsidRPr="00757200">
        <w:lastRenderedPageBreak/>
        <w:t>ÍNDICE</w:t>
      </w:r>
      <w:bookmarkEnd w:id="3"/>
      <w:bookmarkEnd w:id="4"/>
    </w:p>
    <w:p w:rsidR="000A5DF6" w:rsidRDefault="000630E1">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8796" w:history="1">
        <w:r w:rsidR="000A5DF6" w:rsidRPr="00F95FDD">
          <w:rPr>
            <w:rStyle w:val="Hipervnculo"/>
            <w:noProof/>
            <w:lang w:val="es-ES"/>
          </w:rPr>
          <w:t>1. Borrado seguro y gestión de soportes</w:t>
        </w:r>
        <w:r w:rsidR="000A5DF6">
          <w:rPr>
            <w:noProof/>
            <w:webHidden/>
          </w:rPr>
          <w:tab/>
        </w:r>
        <w:r w:rsidR="000A5DF6">
          <w:rPr>
            <w:noProof/>
            <w:webHidden/>
          </w:rPr>
          <w:fldChar w:fldCharType="begin"/>
        </w:r>
        <w:r w:rsidR="000A5DF6">
          <w:rPr>
            <w:noProof/>
            <w:webHidden/>
          </w:rPr>
          <w:instrText xml:space="preserve"> PAGEREF _Toc480468796 \h </w:instrText>
        </w:r>
        <w:r w:rsidR="000A5DF6">
          <w:rPr>
            <w:noProof/>
            <w:webHidden/>
          </w:rPr>
        </w:r>
        <w:r w:rsidR="000A5DF6">
          <w:rPr>
            <w:noProof/>
            <w:webHidden/>
          </w:rPr>
          <w:fldChar w:fldCharType="separate"/>
        </w:r>
        <w:r w:rsidR="0029226E">
          <w:rPr>
            <w:noProof/>
            <w:webHidden/>
          </w:rPr>
          <w:t>3</w:t>
        </w:r>
        <w:r w:rsidR="000A5DF6">
          <w:rPr>
            <w:noProof/>
            <w:webHidden/>
          </w:rPr>
          <w:fldChar w:fldCharType="end"/>
        </w:r>
      </w:hyperlink>
    </w:p>
    <w:p w:rsidR="000A5DF6" w:rsidRDefault="00693ADD">
      <w:pPr>
        <w:pStyle w:val="TDC2"/>
        <w:rPr>
          <w:rFonts w:eastAsiaTheme="minorEastAsia" w:cstheme="minorBidi"/>
          <w:noProof/>
          <w:sz w:val="22"/>
          <w:szCs w:val="22"/>
          <w:lang w:val="es-ES"/>
        </w:rPr>
      </w:pPr>
      <w:hyperlink w:anchor="_Toc480468797" w:history="1">
        <w:r w:rsidR="000A5DF6" w:rsidRPr="00F95FDD">
          <w:rPr>
            <w:rStyle w:val="Hipervnculo"/>
            <w:noProof/>
          </w:rPr>
          <w:t>1.1. Antecedentes</w:t>
        </w:r>
        <w:r w:rsidR="000A5DF6">
          <w:rPr>
            <w:noProof/>
            <w:webHidden/>
          </w:rPr>
          <w:tab/>
        </w:r>
        <w:r w:rsidR="000A5DF6">
          <w:rPr>
            <w:noProof/>
            <w:webHidden/>
          </w:rPr>
          <w:fldChar w:fldCharType="begin"/>
        </w:r>
        <w:r w:rsidR="000A5DF6">
          <w:rPr>
            <w:noProof/>
            <w:webHidden/>
          </w:rPr>
          <w:instrText xml:space="preserve"> PAGEREF _Toc480468797 \h </w:instrText>
        </w:r>
        <w:r w:rsidR="000A5DF6">
          <w:rPr>
            <w:noProof/>
            <w:webHidden/>
          </w:rPr>
        </w:r>
        <w:r w:rsidR="000A5DF6">
          <w:rPr>
            <w:noProof/>
            <w:webHidden/>
          </w:rPr>
          <w:fldChar w:fldCharType="separate"/>
        </w:r>
        <w:r w:rsidR="0029226E">
          <w:rPr>
            <w:noProof/>
            <w:webHidden/>
          </w:rPr>
          <w:t>3</w:t>
        </w:r>
        <w:r w:rsidR="000A5DF6">
          <w:rPr>
            <w:noProof/>
            <w:webHidden/>
          </w:rPr>
          <w:fldChar w:fldCharType="end"/>
        </w:r>
      </w:hyperlink>
    </w:p>
    <w:p w:rsidR="000A5DF6" w:rsidRDefault="00693ADD">
      <w:pPr>
        <w:pStyle w:val="TDC2"/>
        <w:rPr>
          <w:rFonts w:eastAsiaTheme="minorEastAsia" w:cstheme="minorBidi"/>
          <w:noProof/>
          <w:sz w:val="22"/>
          <w:szCs w:val="22"/>
          <w:lang w:val="es-ES"/>
        </w:rPr>
      </w:pPr>
      <w:hyperlink w:anchor="_Toc480468798" w:history="1">
        <w:r w:rsidR="000A5DF6" w:rsidRPr="00F95FDD">
          <w:rPr>
            <w:rStyle w:val="Hipervnculo"/>
            <w:noProof/>
          </w:rPr>
          <w:t>1.2. Objetivos</w:t>
        </w:r>
        <w:r w:rsidR="000A5DF6">
          <w:rPr>
            <w:noProof/>
            <w:webHidden/>
          </w:rPr>
          <w:tab/>
        </w:r>
        <w:r w:rsidR="000A5DF6">
          <w:rPr>
            <w:noProof/>
            <w:webHidden/>
          </w:rPr>
          <w:fldChar w:fldCharType="begin"/>
        </w:r>
        <w:r w:rsidR="000A5DF6">
          <w:rPr>
            <w:noProof/>
            <w:webHidden/>
          </w:rPr>
          <w:instrText xml:space="preserve"> PAGEREF _Toc480468798 \h </w:instrText>
        </w:r>
        <w:r w:rsidR="000A5DF6">
          <w:rPr>
            <w:noProof/>
            <w:webHidden/>
          </w:rPr>
        </w:r>
        <w:r w:rsidR="000A5DF6">
          <w:rPr>
            <w:noProof/>
            <w:webHidden/>
          </w:rPr>
          <w:fldChar w:fldCharType="separate"/>
        </w:r>
        <w:r w:rsidR="0029226E">
          <w:rPr>
            <w:noProof/>
            <w:webHidden/>
          </w:rPr>
          <w:t>3</w:t>
        </w:r>
        <w:r w:rsidR="000A5DF6">
          <w:rPr>
            <w:noProof/>
            <w:webHidden/>
          </w:rPr>
          <w:fldChar w:fldCharType="end"/>
        </w:r>
      </w:hyperlink>
    </w:p>
    <w:p w:rsidR="000A5DF6" w:rsidRDefault="00693ADD">
      <w:pPr>
        <w:pStyle w:val="TDC2"/>
        <w:rPr>
          <w:rFonts w:eastAsiaTheme="minorEastAsia" w:cstheme="minorBidi"/>
          <w:noProof/>
          <w:sz w:val="22"/>
          <w:szCs w:val="22"/>
          <w:lang w:val="es-ES"/>
        </w:rPr>
      </w:pPr>
      <w:hyperlink w:anchor="_Toc480468799" w:history="1">
        <w:r w:rsidR="000A5DF6" w:rsidRPr="00F95FDD">
          <w:rPr>
            <w:rStyle w:val="Hipervnculo"/>
            <w:noProof/>
          </w:rPr>
          <w:t>1.3. Checklist</w:t>
        </w:r>
        <w:r w:rsidR="000A5DF6">
          <w:rPr>
            <w:noProof/>
            <w:webHidden/>
          </w:rPr>
          <w:tab/>
        </w:r>
        <w:r w:rsidR="000A5DF6">
          <w:rPr>
            <w:noProof/>
            <w:webHidden/>
          </w:rPr>
          <w:fldChar w:fldCharType="begin"/>
        </w:r>
        <w:r w:rsidR="000A5DF6">
          <w:rPr>
            <w:noProof/>
            <w:webHidden/>
          </w:rPr>
          <w:instrText xml:space="preserve"> PAGEREF _Toc480468799 \h </w:instrText>
        </w:r>
        <w:r w:rsidR="000A5DF6">
          <w:rPr>
            <w:noProof/>
            <w:webHidden/>
          </w:rPr>
        </w:r>
        <w:r w:rsidR="000A5DF6">
          <w:rPr>
            <w:noProof/>
            <w:webHidden/>
          </w:rPr>
          <w:fldChar w:fldCharType="separate"/>
        </w:r>
        <w:r w:rsidR="0029226E">
          <w:rPr>
            <w:noProof/>
            <w:webHidden/>
          </w:rPr>
          <w:t>4</w:t>
        </w:r>
        <w:r w:rsidR="000A5DF6">
          <w:rPr>
            <w:noProof/>
            <w:webHidden/>
          </w:rPr>
          <w:fldChar w:fldCharType="end"/>
        </w:r>
      </w:hyperlink>
    </w:p>
    <w:p w:rsidR="000A5DF6" w:rsidRDefault="00693ADD">
      <w:pPr>
        <w:pStyle w:val="TDC2"/>
        <w:rPr>
          <w:rFonts w:eastAsiaTheme="minorEastAsia" w:cstheme="minorBidi"/>
          <w:noProof/>
          <w:sz w:val="22"/>
          <w:szCs w:val="22"/>
          <w:lang w:val="es-ES"/>
        </w:rPr>
      </w:pPr>
      <w:hyperlink w:anchor="_Toc480468800" w:history="1">
        <w:r w:rsidR="000A5DF6" w:rsidRPr="00F95FDD">
          <w:rPr>
            <w:rStyle w:val="Hipervnculo"/>
            <w:noProof/>
          </w:rPr>
          <w:t>1.4. Puntos clave</w:t>
        </w:r>
        <w:r w:rsidR="000A5DF6">
          <w:rPr>
            <w:noProof/>
            <w:webHidden/>
          </w:rPr>
          <w:tab/>
        </w:r>
        <w:r w:rsidR="000A5DF6">
          <w:rPr>
            <w:noProof/>
            <w:webHidden/>
          </w:rPr>
          <w:fldChar w:fldCharType="begin"/>
        </w:r>
        <w:r w:rsidR="000A5DF6">
          <w:rPr>
            <w:noProof/>
            <w:webHidden/>
          </w:rPr>
          <w:instrText xml:space="preserve"> PAGEREF _Toc480468800 \h </w:instrText>
        </w:r>
        <w:r w:rsidR="000A5DF6">
          <w:rPr>
            <w:noProof/>
            <w:webHidden/>
          </w:rPr>
        </w:r>
        <w:r w:rsidR="000A5DF6">
          <w:rPr>
            <w:noProof/>
            <w:webHidden/>
          </w:rPr>
          <w:fldChar w:fldCharType="separate"/>
        </w:r>
        <w:r w:rsidR="0029226E">
          <w:rPr>
            <w:noProof/>
            <w:webHidden/>
          </w:rPr>
          <w:t>6</w:t>
        </w:r>
        <w:r w:rsidR="000A5DF6">
          <w:rPr>
            <w:noProof/>
            <w:webHidden/>
          </w:rPr>
          <w:fldChar w:fldCharType="end"/>
        </w:r>
      </w:hyperlink>
    </w:p>
    <w:p w:rsidR="000A5DF6" w:rsidRDefault="00693ADD">
      <w:pPr>
        <w:pStyle w:val="TDC1"/>
        <w:rPr>
          <w:rFonts w:eastAsiaTheme="minorEastAsia" w:cstheme="minorBidi"/>
          <w:b w:val="0"/>
          <w:noProof/>
          <w:sz w:val="22"/>
          <w:szCs w:val="22"/>
          <w:lang w:val="es-ES"/>
        </w:rPr>
      </w:pPr>
      <w:hyperlink w:anchor="_Toc480468801" w:history="1">
        <w:r w:rsidR="000A5DF6" w:rsidRPr="00F95FDD">
          <w:rPr>
            <w:rStyle w:val="Hipervnculo"/>
            <w:noProof/>
          </w:rPr>
          <w:t>2. Referencias</w:t>
        </w:r>
        <w:r w:rsidR="000A5DF6">
          <w:rPr>
            <w:noProof/>
            <w:webHidden/>
          </w:rPr>
          <w:tab/>
        </w:r>
        <w:r w:rsidR="000A5DF6">
          <w:rPr>
            <w:noProof/>
            <w:webHidden/>
          </w:rPr>
          <w:fldChar w:fldCharType="begin"/>
        </w:r>
        <w:r w:rsidR="000A5DF6">
          <w:rPr>
            <w:noProof/>
            <w:webHidden/>
          </w:rPr>
          <w:instrText xml:space="preserve"> PAGEREF _Toc480468801 \h </w:instrText>
        </w:r>
        <w:r w:rsidR="000A5DF6">
          <w:rPr>
            <w:noProof/>
            <w:webHidden/>
          </w:rPr>
        </w:r>
        <w:r w:rsidR="000A5DF6">
          <w:rPr>
            <w:noProof/>
            <w:webHidden/>
          </w:rPr>
          <w:fldChar w:fldCharType="separate"/>
        </w:r>
        <w:r w:rsidR="0029226E">
          <w:rPr>
            <w:noProof/>
            <w:webHidden/>
          </w:rPr>
          <w:t>8</w:t>
        </w:r>
        <w:r w:rsidR="000A5DF6">
          <w:rPr>
            <w:noProof/>
            <w:webHidden/>
          </w:rPr>
          <w:fldChar w:fldCharType="end"/>
        </w:r>
      </w:hyperlink>
    </w:p>
    <w:p w:rsidR="000630E1" w:rsidRPr="00757200" w:rsidRDefault="000630E1" w:rsidP="000630E1">
      <w:r>
        <w:fldChar w:fldCharType="end"/>
      </w:r>
    </w:p>
    <w:p w:rsidR="000630E1" w:rsidRDefault="000630E1" w:rsidP="000630E1">
      <w:pPr>
        <w:pStyle w:val="Tabladeilustraciones"/>
        <w:tabs>
          <w:tab w:val="right" w:leader="dot" w:pos="8777"/>
        </w:tabs>
      </w:pPr>
    </w:p>
    <w:p w:rsidR="000630E1" w:rsidRPr="0083344C" w:rsidRDefault="000630E1" w:rsidP="000630E1"/>
    <w:p w:rsidR="000630E1" w:rsidRPr="0083344C" w:rsidRDefault="000630E1" w:rsidP="000630E1"/>
    <w:p w:rsidR="000630E1" w:rsidRPr="0083344C" w:rsidRDefault="000630E1" w:rsidP="000630E1"/>
    <w:p w:rsidR="000630E1" w:rsidRPr="0083344C" w:rsidRDefault="000630E1" w:rsidP="000630E1"/>
    <w:p w:rsidR="000630E1" w:rsidRPr="0083344C" w:rsidRDefault="000630E1" w:rsidP="000630E1"/>
    <w:p w:rsidR="000630E1" w:rsidRPr="0083344C" w:rsidRDefault="000630E1" w:rsidP="000630E1"/>
    <w:p w:rsidR="000630E1" w:rsidRDefault="000630E1" w:rsidP="000630E1"/>
    <w:p w:rsidR="000630E1" w:rsidRDefault="000630E1" w:rsidP="000630E1">
      <w:pPr>
        <w:tabs>
          <w:tab w:val="left" w:pos="3264"/>
        </w:tabs>
      </w:pPr>
      <w:r>
        <w:tab/>
      </w:r>
    </w:p>
    <w:p w:rsidR="000630E1" w:rsidRDefault="000630E1" w:rsidP="000630E1">
      <w:pPr>
        <w:tabs>
          <w:tab w:val="left" w:pos="1104"/>
        </w:tabs>
      </w:pPr>
      <w:r>
        <w:tab/>
      </w:r>
    </w:p>
    <w:p w:rsidR="000630E1" w:rsidRPr="008F7E01" w:rsidRDefault="000630E1" w:rsidP="000630E1"/>
    <w:p w:rsidR="000630E1" w:rsidRPr="007478B1" w:rsidRDefault="000630E1" w:rsidP="000630E1"/>
    <w:p w:rsidR="000630E1" w:rsidRPr="007478B1" w:rsidRDefault="000630E1" w:rsidP="000630E1"/>
    <w:p w:rsidR="000630E1" w:rsidRPr="005B1B40" w:rsidRDefault="000630E1" w:rsidP="000630E1"/>
    <w:p w:rsidR="000630E1" w:rsidRDefault="000630E1" w:rsidP="000630E1"/>
    <w:p w:rsidR="000630E1" w:rsidRPr="008F7E01" w:rsidRDefault="000630E1" w:rsidP="000630E1">
      <w:pPr>
        <w:tabs>
          <w:tab w:val="left" w:pos="3336"/>
        </w:tabs>
      </w:pPr>
      <w:r>
        <w:tab/>
      </w:r>
    </w:p>
    <w:p w:rsidR="000630E1" w:rsidRPr="00266022" w:rsidRDefault="00C51BC9" w:rsidP="000630E1">
      <w:pPr>
        <w:pStyle w:val="Ttulo1"/>
        <w:rPr>
          <w:lang w:val="es-ES"/>
        </w:rPr>
      </w:pPr>
      <w:bookmarkStart w:id="6" w:name="_Toc480468796"/>
      <w:bookmarkStart w:id="7" w:name="_Toc410845010"/>
      <w:bookmarkEnd w:id="5"/>
      <w:r>
        <w:rPr>
          <w:lang w:val="es-ES"/>
        </w:rPr>
        <w:lastRenderedPageBreak/>
        <w:t>B</w:t>
      </w:r>
      <w:r w:rsidR="000630E1">
        <w:rPr>
          <w:lang w:val="es-ES"/>
        </w:rPr>
        <w:t>orrado seguro y gestión de soportes</w:t>
      </w:r>
      <w:bookmarkEnd w:id="6"/>
    </w:p>
    <w:p w:rsidR="000630E1" w:rsidRDefault="000630E1" w:rsidP="000630E1">
      <w:pPr>
        <w:pStyle w:val="Ttulo2"/>
      </w:pPr>
      <w:bookmarkStart w:id="8" w:name="_Toc480468797"/>
      <w:r>
        <w:t>Antecedentes</w:t>
      </w:r>
      <w:bookmarkEnd w:id="7"/>
      <w:bookmarkEnd w:id="8"/>
    </w:p>
    <w:p w:rsidR="000630E1" w:rsidRDefault="000630E1" w:rsidP="000630E1">
      <w:r>
        <w:t xml:space="preserve">Cuando la información deja de ser necesaria para la organización llega a la última fase de su ciclo de vida y es necesario destruirla de forma segura. Esta opción es indispensable si queremos que la información no vuelva a ser accesible y cumplir con la Ley de Protección de Datos </w:t>
      </w:r>
      <w:hyperlink w:anchor="referencias" w:history="1">
        <w:r>
          <w:rPr>
            <w:rStyle w:val="Hipervnculo"/>
            <w:color w:val="E73137" w:themeColor="accent2"/>
            <w:u w:val="none"/>
          </w:rPr>
          <w:t>[1</w:t>
        </w:r>
        <w:r w:rsidRPr="00923F28">
          <w:rPr>
            <w:rStyle w:val="Hipervnculo"/>
            <w:color w:val="E73137" w:themeColor="accent2"/>
            <w:u w:val="none"/>
          </w:rPr>
          <w:t>]</w:t>
        </w:r>
      </w:hyperlink>
      <w:r>
        <w:t xml:space="preserve">, </w:t>
      </w:r>
      <w:r w:rsidRPr="00664E3C">
        <w:rPr>
          <w:rStyle w:val="Hipervnculo"/>
          <w:color w:val="auto"/>
          <w:u w:val="none"/>
        </w:rPr>
        <w:t>cuando contenga datos de carácter personal.</w:t>
      </w:r>
    </w:p>
    <w:p w:rsidR="000630E1" w:rsidRDefault="000630E1" w:rsidP="000630E1">
      <w:r>
        <w:t>También debemos utilizar el borrado seguro cuando</w:t>
      </w:r>
      <w:r w:rsidR="00183534">
        <w:t xml:space="preserve"> queremos</w:t>
      </w:r>
      <w:r>
        <w:t>:</w:t>
      </w:r>
    </w:p>
    <w:p w:rsidR="000630E1" w:rsidRDefault="000630E1" w:rsidP="000630E1">
      <w:pPr>
        <w:pStyle w:val="BulletsNivel1"/>
        <w:numPr>
          <w:ilvl w:val="0"/>
          <w:numId w:val="4"/>
        </w:numPr>
        <w:ind w:left="714" w:hanging="357"/>
      </w:pPr>
      <w:r>
        <w:t xml:space="preserve">reutilizar un soporte: </w:t>
      </w:r>
    </w:p>
    <w:p w:rsidR="000630E1" w:rsidRDefault="000630E1" w:rsidP="000630E1">
      <w:pPr>
        <w:pStyle w:val="BulletsNivel2"/>
        <w:numPr>
          <w:ilvl w:val="1"/>
          <w:numId w:val="3"/>
        </w:numPr>
      </w:pPr>
      <w:r>
        <w:t xml:space="preserve">que ya contiene datos corporativos; </w:t>
      </w:r>
    </w:p>
    <w:p w:rsidR="000630E1" w:rsidRDefault="000630E1" w:rsidP="000630E1">
      <w:pPr>
        <w:pStyle w:val="BulletsNivel2"/>
        <w:numPr>
          <w:ilvl w:val="1"/>
          <w:numId w:val="3"/>
        </w:numPr>
      </w:pPr>
      <w:r>
        <w:t>que no funciona correctamente;</w:t>
      </w:r>
    </w:p>
    <w:p w:rsidR="000630E1" w:rsidRDefault="000630E1" w:rsidP="000630E1">
      <w:pPr>
        <w:pStyle w:val="BulletsNivel1"/>
        <w:numPr>
          <w:ilvl w:val="0"/>
          <w:numId w:val="4"/>
        </w:numPr>
        <w:ind w:left="714" w:hanging="357"/>
      </w:pPr>
      <w:r>
        <w:t>o deshacernos de un soporte que se ha quedado obsoleto.</w:t>
      </w:r>
    </w:p>
    <w:p w:rsidR="000630E1" w:rsidRDefault="001C21BF" w:rsidP="000630E1">
      <w:r>
        <w:t xml:space="preserve">En el caso de que </w:t>
      </w:r>
      <w:r w:rsidR="000630E1">
        <w:t>la información esté en soportes no electrónicos (papel, negativos fotográficos, radiografías, cintas magnéticas, etc.) es necesario usar la una trituradora para deshacernos de la información. En caso contrario podría llegar a manos de terceros y utilizarse de forma perjudicial para la empresa.</w:t>
      </w:r>
    </w:p>
    <w:p w:rsidR="000630E1" w:rsidRPr="00382674" w:rsidRDefault="000630E1" w:rsidP="000630E1">
      <w:r>
        <w:rPr>
          <w:rStyle w:val="Hipervnculo"/>
          <w:color w:val="auto"/>
          <w:u w:val="none"/>
        </w:rPr>
        <w:t>Por otro lado, s</w:t>
      </w:r>
      <w:r w:rsidRPr="00664E3C">
        <w:rPr>
          <w:rStyle w:val="Hipervnculo"/>
          <w:color w:val="auto"/>
          <w:u w:val="none"/>
        </w:rPr>
        <w:t xml:space="preserve">i vamos a contratar </w:t>
      </w:r>
      <w:r>
        <w:rPr>
          <w:rStyle w:val="Hipervnculo"/>
          <w:color w:val="auto"/>
          <w:u w:val="none"/>
        </w:rPr>
        <w:t xml:space="preserve">a terceros </w:t>
      </w:r>
      <w:r w:rsidRPr="00664E3C">
        <w:rPr>
          <w:rStyle w:val="Hipervnculo"/>
          <w:color w:val="auto"/>
          <w:u w:val="none"/>
        </w:rPr>
        <w:t xml:space="preserve">la destrucción de nuestros datos </w:t>
      </w:r>
      <w:r>
        <w:rPr>
          <w:rStyle w:val="Hipervnculo"/>
          <w:color w:val="auto"/>
          <w:u w:val="none"/>
        </w:rPr>
        <w:t xml:space="preserve">o de los soportes, </w:t>
      </w:r>
      <w:r w:rsidRPr="00664E3C">
        <w:rPr>
          <w:rStyle w:val="Hipervnculo"/>
          <w:color w:val="auto"/>
          <w:u w:val="none"/>
        </w:rPr>
        <w:t xml:space="preserve">debemos </w:t>
      </w:r>
      <w:r>
        <w:rPr>
          <w:rStyle w:val="Hipervnculo"/>
          <w:color w:val="auto"/>
          <w:u w:val="none"/>
        </w:rPr>
        <w:t>elegir</w:t>
      </w:r>
      <w:r w:rsidRPr="00664E3C">
        <w:rPr>
          <w:rStyle w:val="Hipervnculo"/>
          <w:color w:val="auto"/>
          <w:u w:val="none"/>
        </w:rPr>
        <w:t xml:space="preserve"> la destrucción certificada</w:t>
      </w:r>
      <w:r>
        <w:rPr>
          <w:rStyle w:val="Hipervnculo"/>
          <w:color w:val="auto"/>
          <w:u w:val="none"/>
        </w:rPr>
        <w:t xml:space="preserve"> si se trata de (o si contienen) datos personales o confidenciales</w:t>
      </w:r>
      <w:r w:rsidRPr="00664E3C">
        <w:rPr>
          <w:rStyle w:val="Hipervnculo"/>
          <w:color w:val="auto"/>
          <w:u w:val="none"/>
        </w:rPr>
        <w:t xml:space="preserve">. </w:t>
      </w:r>
      <w:r>
        <w:t>Esta opción nos asegura</w:t>
      </w:r>
      <w:r w:rsidRPr="00382674">
        <w:t xml:space="preserve"> la destrucción de la información con las máximas garantías de seguridad y confidencialidad, desde la recogida del material documental hasta su destrucción física y eliminación final.</w:t>
      </w:r>
    </w:p>
    <w:p w:rsidR="000630E1" w:rsidRDefault="000630E1" w:rsidP="000630E1">
      <w:pPr>
        <w:pStyle w:val="Ttulo2"/>
      </w:pPr>
      <w:bookmarkStart w:id="9" w:name="_Toc480468798"/>
      <w:r>
        <w:t>Objetivos</w:t>
      </w:r>
      <w:bookmarkEnd w:id="9"/>
    </w:p>
    <w:p w:rsidR="000630E1" w:rsidRDefault="000630E1" w:rsidP="000630E1">
      <w:r>
        <w:t xml:space="preserve">Establecer normas </w:t>
      </w:r>
      <w:r w:rsidR="00BF3266">
        <w:t>para el</w:t>
      </w:r>
      <w:r>
        <w:t xml:space="preserve"> borrado seguro de la información obsoleta y</w:t>
      </w:r>
      <w:r w:rsidR="00BF3266">
        <w:t xml:space="preserve"> para</w:t>
      </w:r>
      <w:r>
        <w:t xml:space="preserve"> destrucción de soportes acorde a las necesidades de la empresa </w:t>
      </w:r>
      <w:hyperlink w:anchor="referencias" w:history="1">
        <w:r>
          <w:rPr>
            <w:rStyle w:val="Hipervnculo"/>
            <w:color w:val="E73137" w:themeColor="accent2"/>
            <w:u w:val="none"/>
          </w:rPr>
          <w:t>[2</w:t>
        </w:r>
        <w:r w:rsidRPr="00923F28">
          <w:rPr>
            <w:rStyle w:val="Hipervnculo"/>
            <w:color w:val="E73137" w:themeColor="accent2"/>
            <w:u w:val="none"/>
          </w:rPr>
          <w:t>]</w:t>
        </w:r>
      </w:hyperlink>
      <w:r>
        <w:t>.</w:t>
      </w:r>
    </w:p>
    <w:p w:rsidR="000630E1" w:rsidRDefault="000630E1" w:rsidP="000630E1">
      <w:pPr>
        <w:pStyle w:val="Ttulo2"/>
      </w:pPr>
      <w:r>
        <w:br w:type="page"/>
      </w:r>
      <w:bookmarkStart w:id="10" w:name="_Toc472941119"/>
      <w:bookmarkStart w:id="11" w:name="_Toc473027735"/>
      <w:bookmarkStart w:id="12" w:name="_Toc480468799"/>
      <w:r>
        <w:lastRenderedPageBreak/>
        <w:t>Checklist</w:t>
      </w:r>
      <w:bookmarkEnd w:id="10"/>
      <w:bookmarkEnd w:id="11"/>
      <w:bookmarkEnd w:id="12"/>
    </w:p>
    <w:p w:rsidR="000630E1" w:rsidRDefault="000630E1" w:rsidP="000630E1">
      <w:r w:rsidRPr="005B5105">
        <w:t xml:space="preserve">A continuación se incluyen una serie de controles para revisar el cumplimiento de la política de seguridad en lo relativo a </w:t>
      </w:r>
      <w:r>
        <w:rPr>
          <w:b/>
        </w:rPr>
        <w:t xml:space="preserve">borrado seguro </w:t>
      </w:r>
      <w:r w:rsidR="00BF3266">
        <w:rPr>
          <w:b/>
        </w:rPr>
        <w:t>y gestión de soportes</w:t>
      </w:r>
      <w:r w:rsidRPr="005B5105">
        <w:t xml:space="preserve">. </w:t>
      </w:r>
    </w:p>
    <w:p w:rsidR="000630E1" w:rsidRPr="005B5105" w:rsidRDefault="000630E1" w:rsidP="000630E1">
      <w:r w:rsidRPr="005B5105">
        <w:t xml:space="preserve">Los controles se clasificarán en dos niveles de </w:t>
      </w:r>
      <w:r w:rsidRPr="005B5105">
        <w:rPr>
          <w:b/>
        </w:rPr>
        <w:t>complejidad</w:t>
      </w:r>
      <w:r w:rsidRPr="005B5105">
        <w:t>:</w:t>
      </w:r>
    </w:p>
    <w:p w:rsidR="000630E1" w:rsidRPr="005B5105" w:rsidRDefault="000630E1" w:rsidP="000630E1">
      <w:pPr>
        <w:pStyle w:val="BulletsNivel1"/>
      </w:pPr>
      <w:r w:rsidRPr="005B5105">
        <w:t>Básico (</w:t>
      </w:r>
      <w:r w:rsidRPr="005B5105">
        <w:rPr>
          <w:b/>
        </w:rPr>
        <w:t>B</w:t>
      </w:r>
      <w:r w:rsidRPr="005B5105">
        <w:t xml:space="preserve">): </w:t>
      </w:r>
      <w:r>
        <w:t>e</w:t>
      </w:r>
      <w:r w:rsidRPr="005B5105">
        <w:t xml:space="preserv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rsidR="000630E1" w:rsidRPr="005B5105" w:rsidRDefault="000630E1" w:rsidP="000630E1">
      <w:pPr>
        <w:pStyle w:val="BulletsNivel1"/>
      </w:pPr>
      <w:r w:rsidRPr="005B5105">
        <w:t>Avanzado (</w:t>
      </w:r>
      <w:r w:rsidRPr="005B5105">
        <w:rPr>
          <w:b/>
        </w:rPr>
        <w:t>A</w:t>
      </w:r>
      <w:r w:rsidRPr="005B5105">
        <w:t xml:space="preserve">): </w:t>
      </w:r>
      <w:r>
        <w:t>e</w:t>
      </w:r>
      <w:r w:rsidRPr="005B5105">
        <w:t xml:space="preserve">l esfuerzo y los recursos necesarios para implantarlo son considerables. Se necesitan programas que requieren configuraciones complejas. Se pueden precisar mecanismos de recuperación ante fallos. </w:t>
      </w:r>
    </w:p>
    <w:p w:rsidR="000630E1" w:rsidRPr="005B5105" w:rsidRDefault="000630E1" w:rsidP="000630E1">
      <w:r w:rsidRPr="005B5105">
        <w:t xml:space="preserve">Los controles podrán tener el siguiente </w:t>
      </w:r>
      <w:r w:rsidRPr="005B5105">
        <w:rPr>
          <w:b/>
        </w:rPr>
        <w:t>alcance</w:t>
      </w:r>
      <w:r w:rsidRPr="005B5105">
        <w:t>:</w:t>
      </w:r>
    </w:p>
    <w:p w:rsidR="000630E1" w:rsidRPr="005B5105" w:rsidRDefault="000630E1" w:rsidP="000630E1">
      <w:pPr>
        <w:pStyle w:val="BulletsNivel1"/>
      </w:pPr>
      <w:r w:rsidRPr="005B5105">
        <w:t>Procesos (</w:t>
      </w:r>
      <w:r w:rsidRPr="005B5105">
        <w:rPr>
          <w:b/>
        </w:rPr>
        <w:t>PRO</w:t>
      </w:r>
      <w:r w:rsidRPr="005B5105">
        <w:t xml:space="preserve">): </w:t>
      </w:r>
      <w:r>
        <w:t>a</w:t>
      </w:r>
      <w:r w:rsidRPr="005B5105">
        <w:t>plica a la dirección o al personal de gestión.</w:t>
      </w:r>
    </w:p>
    <w:p w:rsidR="000630E1" w:rsidRPr="005B5105" w:rsidRDefault="000630E1" w:rsidP="000630E1">
      <w:pPr>
        <w:pStyle w:val="BulletsNivel1"/>
      </w:pPr>
      <w:r w:rsidRPr="005B5105">
        <w:t>Tecnología (</w:t>
      </w:r>
      <w:r w:rsidRPr="005B5105">
        <w:rPr>
          <w:b/>
        </w:rPr>
        <w:t>TEC</w:t>
      </w:r>
      <w:r w:rsidRPr="005B5105">
        <w:t xml:space="preserve">): </w:t>
      </w:r>
      <w:r>
        <w:t>a</w:t>
      </w:r>
      <w:r w:rsidRPr="005B5105">
        <w:t>plica al personal técnico especializado.</w:t>
      </w:r>
    </w:p>
    <w:p w:rsidR="000630E1" w:rsidRPr="005B5105" w:rsidRDefault="000630E1" w:rsidP="000630E1">
      <w:pPr>
        <w:pStyle w:val="BulletsNivel1"/>
      </w:pPr>
      <w:r w:rsidRPr="005B5105">
        <w:t>Personas (</w:t>
      </w:r>
      <w:r w:rsidRPr="005B5105">
        <w:rPr>
          <w:b/>
        </w:rPr>
        <w:t>PER</w:t>
      </w:r>
      <w:r w:rsidRPr="005B5105">
        <w:t xml:space="preserve">): </w:t>
      </w:r>
      <w:r>
        <w:t>a</w:t>
      </w:r>
      <w:r w:rsidRPr="005B5105">
        <w:t>plica a todo el personal.</w:t>
      </w:r>
    </w:p>
    <w:p w:rsidR="000630E1" w:rsidRDefault="000630E1" w:rsidP="000630E1"/>
    <w:tbl>
      <w:tblPr>
        <w:tblStyle w:val="Tablaconcuadrcula"/>
        <w:tblW w:w="8505" w:type="dxa"/>
        <w:tblLook w:val="04A0" w:firstRow="1" w:lastRow="0" w:firstColumn="1" w:lastColumn="0" w:noHBand="0" w:noVBand="1"/>
      </w:tblPr>
      <w:tblGrid>
        <w:gridCol w:w="864"/>
        <w:gridCol w:w="1491"/>
        <w:gridCol w:w="5587"/>
        <w:gridCol w:w="563"/>
      </w:tblGrid>
      <w:tr w:rsidR="000630E1" w:rsidRPr="00300CED" w:rsidTr="009379D1">
        <w:trPr>
          <w:cnfStyle w:val="100000000000" w:firstRow="1" w:lastRow="0" w:firstColumn="0" w:lastColumn="0" w:oddVBand="0" w:evenVBand="0" w:oddHBand="0" w:evenHBand="0" w:firstRowFirstColumn="0" w:firstRowLastColumn="0" w:lastRowFirstColumn="0" w:lastRowLastColumn="0"/>
          <w:cantSplit/>
          <w:trHeight w:val="434"/>
          <w:tblHeader/>
        </w:trPr>
        <w:tc>
          <w:tcPr>
            <w:tcW w:w="864" w:type="dxa"/>
          </w:tcPr>
          <w:p w:rsidR="000630E1" w:rsidRPr="00BD631E" w:rsidRDefault="000630E1" w:rsidP="00963531">
            <w:pPr>
              <w:autoSpaceDE w:val="0"/>
              <w:autoSpaceDN w:val="0"/>
              <w:adjustRightInd w:val="0"/>
              <w:spacing w:after="0" w:line="240" w:lineRule="auto"/>
              <w:jc w:val="center"/>
              <w:rPr>
                <w:rFonts w:cs="Arial"/>
                <w:b/>
                <w:szCs w:val="20"/>
              </w:rPr>
            </w:pPr>
            <w:r w:rsidRPr="00BD631E">
              <w:rPr>
                <w:rFonts w:cs="Arial"/>
                <w:b/>
                <w:szCs w:val="20"/>
              </w:rPr>
              <w:t>NIVEL</w:t>
            </w:r>
          </w:p>
        </w:tc>
        <w:tc>
          <w:tcPr>
            <w:tcW w:w="1491" w:type="dxa"/>
          </w:tcPr>
          <w:p w:rsidR="000630E1" w:rsidRPr="00BD631E" w:rsidRDefault="00D3401E" w:rsidP="00963531">
            <w:pPr>
              <w:autoSpaceDE w:val="0"/>
              <w:autoSpaceDN w:val="0"/>
              <w:adjustRightInd w:val="0"/>
              <w:spacing w:after="0" w:line="240" w:lineRule="auto"/>
              <w:jc w:val="center"/>
              <w:rPr>
                <w:rFonts w:cs="Arial"/>
                <w:b/>
                <w:szCs w:val="20"/>
              </w:rPr>
            </w:pPr>
            <w:r>
              <w:rPr>
                <w:rFonts w:cs="Arial"/>
                <w:b/>
                <w:szCs w:val="20"/>
              </w:rPr>
              <w:t>ALCANCE</w:t>
            </w:r>
          </w:p>
        </w:tc>
        <w:tc>
          <w:tcPr>
            <w:tcW w:w="6150" w:type="dxa"/>
            <w:gridSpan w:val="2"/>
          </w:tcPr>
          <w:p w:rsidR="000630E1" w:rsidRPr="00300CED" w:rsidRDefault="000630E1" w:rsidP="00963531">
            <w:pPr>
              <w:pStyle w:val="Prrafodelista"/>
              <w:spacing w:after="0" w:line="240" w:lineRule="auto"/>
              <w:ind w:left="0"/>
              <w:contextualSpacing w:val="0"/>
              <w:jc w:val="center"/>
              <w:rPr>
                <w:rFonts w:cs="Arial"/>
                <w:sz w:val="32"/>
              </w:rPr>
            </w:pPr>
            <w:r w:rsidRPr="00BD631E">
              <w:rPr>
                <w:rFonts w:cs="Arial"/>
                <w:b/>
                <w:szCs w:val="20"/>
              </w:rPr>
              <w:t>CONTROL</w:t>
            </w:r>
          </w:p>
        </w:tc>
      </w:tr>
      <w:tr w:rsidR="000630E1" w:rsidRPr="00300CED" w:rsidTr="009379D1">
        <w:trPr>
          <w:cantSplit/>
          <w:trHeight w:val="720"/>
        </w:trPr>
        <w:tc>
          <w:tcPr>
            <w:tcW w:w="864" w:type="dxa"/>
          </w:tcPr>
          <w:p w:rsidR="000630E1" w:rsidRPr="00061D63" w:rsidRDefault="000630E1" w:rsidP="00963531">
            <w:pPr>
              <w:autoSpaceDE w:val="0"/>
              <w:autoSpaceDN w:val="0"/>
              <w:adjustRightInd w:val="0"/>
              <w:spacing w:after="0" w:line="240" w:lineRule="auto"/>
              <w:jc w:val="center"/>
              <w:rPr>
                <w:rFonts w:cs="Arial"/>
                <w:szCs w:val="20"/>
              </w:rPr>
            </w:pPr>
            <w:r w:rsidRPr="00061D63">
              <w:rPr>
                <w:rFonts w:cs="Arial"/>
                <w:szCs w:val="20"/>
              </w:rPr>
              <w:t>B</w:t>
            </w:r>
          </w:p>
        </w:tc>
        <w:tc>
          <w:tcPr>
            <w:tcW w:w="1491" w:type="dxa"/>
          </w:tcPr>
          <w:p w:rsidR="000630E1" w:rsidRPr="00061D63" w:rsidRDefault="000630E1" w:rsidP="00963531">
            <w:pPr>
              <w:autoSpaceDE w:val="0"/>
              <w:autoSpaceDN w:val="0"/>
              <w:adjustRightInd w:val="0"/>
              <w:spacing w:after="0" w:line="240" w:lineRule="auto"/>
              <w:jc w:val="center"/>
              <w:rPr>
                <w:rFonts w:cs="Arial"/>
                <w:szCs w:val="20"/>
              </w:rPr>
            </w:pPr>
            <w:r>
              <w:rPr>
                <w:rFonts w:cs="Arial"/>
                <w:szCs w:val="20"/>
              </w:rPr>
              <w:t>PRO</w:t>
            </w:r>
          </w:p>
        </w:tc>
        <w:tc>
          <w:tcPr>
            <w:tcW w:w="5587" w:type="dxa"/>
          </w:tcPr>
          <w:p w:rsidR="000630E1" w:rsidRPr="00EE5262" w:rsidRDefault="000630E1" w:rsidP="00963531">
            <w:pPr>
              <w:spacing w:after="0"/>
              <w:rPr>
                <w:b/>
              </w:rPr>
            </w:pPr>
            <w:r>
              <w:rPr>
                <w:b/>
              </w:rPr>
              <w:t>Inventario de activos</w:t>
            </w:r>
          </w:p>
          <w:p w:rsidR="000630E1" w:rsidRPr="00EE5262" w:rsidRDefault="000630E1" w:rsidP="00963531">
            <w:pPr>
              <w:spacing w:after="0"/>
              <w:rPr>
                <w:b/>
              </w:rPr>
            </w:pPr>
            <w:r>
              <w:t>Realizas un</w:t>
            </w:r>
            <w:r w:rsidRPr="002E4FF6">
              <w:t xml:space="preserve"> seguimiento de los dispositivos que están en funcionamiento, las perso</w:t>
            </w:r>
            <w:r w:rsidRPr="002E4FF6">
              <w:softHyphen/>
              <w:t>nas o departamentos responsables, la información contenida en ellos y su clasificación en función del grado de criticidad para el negocio.</w:t>
            </w:r>
          </w:p>
        </w:tc>
        <w:tc>
          <w:tcPr>
            <w:tcW w:w="563" w:type="dxa"/>
          </w:tcPr>
          <w:p w:rsidR="000630E1" w:rsidRPr="00D2579B" w:rsidRDefault="00693ADD" w:rsidP="00963531">
            <w:pPr>
              <w:pStyle w:val="Prrafodelista"/>
              <w:spacing w:after="0" w:line="240" w:lineRule="auto"/>
              <w:ind w:left="0"/>
              <w:contextualSpacing w:val="0"/>
              <w:jc w:val="center"/>
              <w:rPr>
                <w:rFonts w:cs="Arial"/>
                <w:b/>
                <w:sz w:val="32"/>
                <w:szCs w:val="32"/>
              </w:rPr>
            </w:pPr>
            <w:sdt>
              <w:sdtPr>
                <w:rPr>
                  <w:rFonts w:ascii="Segoe UI Symbol" w:hAnsi="Segoe UI Symbol" w:cs="Segoe UI Symbol"/>
                  <w:b/>
                  <w:sz w:val="32"/>
                  <w:szCs w:val="32"/>
                </w:rPr>
                <w:id w:val="503253872"/>
                <w14:checkbox>
                  <w14:checked w14:val="0"/>
                  <w14:checkedState w14:val="00FE" w14:font="Wingdings"/>
                  <w14:uncheckedState w14:val="2610" w14:font="MS Gothic"/>
                </w14:checkbox>
              </w:sdtPr>
              <w:sdtEndPr/>
              <w:sdtContent>
                <w:r w:rsidR="000630E1">
                  <w:rPr>
                    <w:rFonts w:ascii="MS Gothic" w:eastAsia="MS Gothic" w:hAnsi="MS Gothic" w:cs="Segoe UI Symbol" w:hint="eastAsia"/>
                    <w:b/>
                    <w:sz w:val="32"/>
                    <w:szCs w:val="32"/>
                  </w:rPr>
                  <w:t>☐</w:t>
                </w:r>
              </w:sdtContent>
            </w:sdt>
          </w:p>
        </w:tc>
      </w:tr>
      <w:tr w:rsidR="000630E1" w:rsidRPr="00300CED" w:rsidTr="009379D1">
        <w:trPr>
          <w:cantSplit/>
          <w:trHeight w:val="720"/>
        </w:trPr>
        <w:tc>
          <w:tcPr>
            <w:tcW w:w="864" w:type="dxa"/>
          </w:tcPr>
          <w:p w:rsidR="000630E1" w:rsidRPr="00061D63" w:rsidRDefault="000630E1" w:rsidP="00963531">
            <w:pPr>
              <w:autoSpaceDE w:val="0"/>
              <w:autoSpaceDN w:val="0"/>
              <w:adjustRightInd w:val="0"/>
              <w:spacing w:after="0" w:line="240" w:lineRule="auto"/>
              <w:jc w:val="center"/>
              <w:rPr>
                <w:rFonts w:cs="Arial"/>
                <w:szCs w:val="20"/>
              </w:rPr>
            </w:pPr>
            <w:r w:rsidRPr="00061D63">
              <w:rPr>
                <w:rFonts w:cs="Arial"/>
                <w:szCs w:val="20"/>
              </w:rPr>
              <w:t>B</w:t>
            </w:r>
          </w:p>
        </w:tc>
        <w:tc>
          <w:tcPr>
            <w:tcW w:w="1491" w:type="dxa"/>
          </w:tcPr>
          <w:p w:rsidR="000630E1" w:rsidRPr="00061D63" w:rsidRDefault="000630E1" w:rsidP="00963531">
            <w:pPr>
              <w:autoSpaceDE w:val="0"/>
              <w:autoSpaceDN w:val="0"/>
              <w:adjustRightInd w:val="0"/>
              <w:spacing w:after="0" w:line="240" w:lineRule="auto"/>
              <w:jc w:val="center"/>
              <w:rPr>
                <w:rFonts w:cs="Arial"/>
                <w:szCs w:val="20"/>
              </w:rPr>
            </w:pPr>
            <w:r>
              <w:rPr>
                <w:rFonts w:cs="Arial"/>
                <w:szCs w:val="20"/>
              </w:rPr>
              <w:t>PRO/TEC</w:t>
            </w:r>
          </w:p>
        </w:tc>
        <w:tc>
          <w:tcPr>
            <w:tcW w:w="5587" w:type="dxa"/>
          </w:tcPr>
          <w:p w:rsidR="000630E1" w:rsidRDefault="000630E1" w:rsidP="00963531">
            <w:pPr>
              <w:spacing w:after="0"/>
              <w:rPr>
                <w:b/>
              </w:rPr>
            </w:pPr>
            <w:r>
              <w:rPr>
                <w:b/>
              </w:rPr>
              <w:t>Gestión de soportes</w:t>
            </w:r>
          </w:p>
          <w:p w:rsidR="000630E1" w:rsidRPr="00061D63" w:rsidRDefault="000630E1" w:rsidP="00963531">
            <w:r>
              <w:t>Supervisas</w:t>
            </w:r>
            <w:r w:rsidRPr="00173C3A">
              <w:t xml:space="preserve"> los dispositivos que almacenan </w:t>
            </w:r>
            <w:r>
              <w:t xml:space="preserve">información corporativa, en particular aquellos que se utilizan para realizar </w:t>
            </w:r>
            <w:r w:rsidRPr="00173C3A">
              <w:t>copias de seguri</w:t>
            </w:r>
            <w:r w:rsidRPr="00173C3A">
              <w:softHyphen/>
              <w:t>dad</w:t>
            </w:r>
            <w:r>
              <w:t>, documentando</w:t>
            </w:r>
            <w:r w:rsidRPr="00173C3A">
              <w:t xml:space="preserve"> cualquier operación realizada sobre </w:t>
            </w:r>
            <w:r>
              <w:t>los mismos</w:t>
            </w:r>
            <w:r w:rsidRPr="00173C3A">
              <w:t>: mantenimiento, repa</w:t>
            </w:r>
            <w:r w:rsidRPr="00173C3A">
              <w:softHyphen/>
              <w:t>ración, sustitución, etc.</w:t>
            </w:r>
          </w:p>
        </w:tc>
        <w:tc>
          <w:tcPr>
            <w:tcW w:w="563" w:type="dxa"/>
          </w:tcPr>
          <w:p w:rsidR="000630E1" w:rsidRPr="00D2579B" w:rsidRDefault="00693ADD" w:rsidP="00963531">
            <w:pPr>
              <w:pStyle w:val="Prrafodelista"/>
              <w:spacing w:after="0" w:line="240" w:lineRule="auto"/>
              <w:ind w:left="0"/>
              <w:contextualSpacing w:val="0"/>
              <w:jc w:val="center"/>
              <w:rPr>
                <w:rFonts w:cs="Arial"/>
                <w:b/>
                <w:sz w:val="32"/>
                <w:szCs w:val="32"/>
              </w:rPr>
            </w:pPr>
            <w:sdt>
              <w:sdtPr>
                <w:rPr>
                  <w:rFonts w:ascii="Segoe UI Symbol" w:hAnsi="Segoe UI Symbol" w:cs="Segoe UI Symbol"/>
                  <w:b/>
                  <w:sz w:val="32"/>
                  <w:szCs w:val="32"/>
                </w:rPr>
                <w:id w:val="517968870"/>
                <w14:checkbox>
                  <w14:checked w14:val="0"/>
                  <w14:checkedState w14:val="00FE" w14:font="Wingdings"/>
                  <w14:uncheckedState w14:val="2610" w14:font="MS Gothic"/>
                </w14:checkbox>
              </w:sdtPr>
              <w:sdtEndPr/>
              <w:sdtContent>
                <w:r w:rsidR="000630E1">
                  <w:rPr>
                    <w:rFonts w:ascii="MS Gothic" w:eastAsia="MS Gothic" w:hAnsi="MS Gothic" w:cs="Segoe UI Symbol" w:hint="eastAsia"/>
                    <w:b/>
                    <w:sz w:val="32"/>
                    <w:szCs w:val="32"/>
                  </w:rPr>
                  <w:t>☐</w:t>
                </w:r>
              </w:sdtContent>
            </w:sdt>
          </w:p>
        </w:tc>
      </w:tr>
      <w:tr w:rsidR="000630E1" w:rsidRPr="00300CED" w:rsidTr="009379D1">
        <w:trPr>
          <w:cantSplit/>
          <w:trHeight w:val="704"/>
        </w:trPr>
        <w:tc>
          <w:tcPr>
            <w:tcW w:w="864" w:type="dxa"/>
          </w:tcPr>
          <w:p w:rsidR="000630E1" w:rsidRPr="001F2498" w:rsidRDefault="000630E1" w:rsidP="00963531">
            <w:pPr>
              <w:spacing w:after="0" w:line="240" w:lineRule="auto"/>
              <w:jc w:val="center"/>
              <w:rPr>
                <w:rFonts w:cs="Arial"/>
              </w:rPr>
            </w:pPr>
            <w:r>
              <w:rPr>
                <w:rFonts w:cs="Arial"/>
              </w:rPr>
              <w:t>A</w:t>
            </w:r>
          </w:p>
        </w:tc>
        <w:tc>
          <w:tcPr>
            <w:tcW w:w="1491" w:type="dxa"/>
          </w:tcPr>
          <w:p w:rsidR="000630E1" w:rsidRPr="001F2498" w:rsidRDefault="000630E1" w:rsidP="00963531">
            <w:pPr>
              <w:spacing w:after="0" w:line="240" w:lineRule="auto"/>
              <w:jc w:val="center"/>
              <w:rPr>
                <w:rFonts w:cs="Arial"/>
              </w:rPr>
            </w:pPr>
            <w:r>
              <w:rPr>
                <w:rFonts w:cs="Arial"/>
              </w:rPr>
              <w:t>PRO/TEC</w:t>
            </w:r>
          </w:p>
        </w:tc>
        <w:tc>
          <w:tcPr>
            <w:tcW w:w="5587" w:type="dxa"/>
          </w:tcPr>
          <w:p w:rsidR="000630E1" w:rsidRDefault="000630E1" w:rsidP="00963531">
            <w:pPr>
              <w:spacing w:after="0"/>
              <w:rPr>
                <w:b/>
              </w:rPr>
            </w:pPr>
            <w:r>
              <w:rPr>
                <w:b/>
              </w:rPr>
              <w:t>Eliminación de la información en soportes no electrónicos</w:t>
            </w:r>
          </w:p>
          <w:p w:rsidR="000630E1" w:rsidRPr="00300CED" w:rsidRDefault="000630E1" w:rsidP="00963531">
            <w:pPr>
              <w:spacing w:after="0"/>
            </w:pPr>
            <w:r>
              <w:t>Utilizas el proceso de triturado para destruir la información de los soportes no electrónicos (papel y soportes magnéticos).</w:t>
            </w:r>
          </w:p>
        </w:tc>
        <w:tc>
          <w:tcPr>
            <w:tcW w:w="563" w:type="dxa"/>
          </w:tcPr>
          <w:p w:rsidR="000630E1" w:rsidRPr="00D2579B" w:rsidRDefault="00693ADD" w:rsidP="00963531">
            <w:pPr>
              <w:pStyle w:val="Prrafodelista"/>
              <w:spacing w:after="0" w:line="240" w:lineRule="auto"/>
              <w:ind w:left="0"/>
              <w:contextualSpacing w:val="0"/>
              <w:jc w:val="center"/>
              <w:rPr>
                <w:rFonts w:cs="Arial"/>
                <w:b/>
                <w:sz w:val="32"/>
                <w:szCs w:val="32"/>
              </w:rPr>
            </w:pPr>
            <w:sdt>
              <w:sdtPr>
                <w:rPr>
                  <w:rFonts w:ascii="Segoe UI Symbol" w:hAnsi="Segoe UI Symbol" w:cs="Segoe UI Symbol"/>
                  <w:b/>
                  <w:sz w:val="32"/>
                  <w:szCs w:val="32"/>
                </w:rPr>
                <w:id w:val="955451421"/>
                <w14:checkbox>
                  <w14:checked w14:val="0"/>
                  <w14:checkedState w14:val="00FE" w14:font="Wingdings"/>
                  <w14:uncheckedState w14:val="2610" w14:font="MS Gothic"/>
                </w14:checkbox>
              </w:sdtPr>
              <w:sdtEndPr/>
              <w:sdtContent>
                <w:r w:rsidR="000630E1" w:rsidRPr="00D2579B">
                  <w:rPr>
                    <w:rFonts w:ascii="MS Gothic" w:eastAsia="MS Gothic" w:hAnsi="MS Gothic" w:cs="Segoe UI Symbol" w:hint="eastAsia"/>
                    <w:b/>
                    <w:sz w:val="32"/>
                    <w:szCs w:val="32"/>
                  </w:rPr>
                  <w:t>☐</w:t>
                </w:r>
              </w:sdtContent>
            </w:sdt>
          </w:p>
        </w:tc>
      </w:tr>
      <w:tr w:rsidR="000630E1" w:rsidRPr="00300CED" w:rsidTr="009379D1">
        <w:trPr>
          <w:cantSplit/>
          <w:trHeight w:val="704"/>
        </w:trPr>
        <w:tc>
          <w:tcPr>
            <w:tcW w:w="864" w:type="dxa"/>
          </w:tcPr>
          <w:p w:rsidR="000630E1" w:rsidRPr="001F2498" w:rsidRDefault="000630E1" w:rsidP="00963531">
            <w:pPr>
              <w:spacing w:after="0" w:line="240" w:lineRule="auto"/>
              <w:jc w:val="center"/>
              <w:rPr>
                <w:rFonts w:cs="Arial"/>
              </w:rPr>
            </w:pPr>
            <w:r>
              <w:rPr>
                <w:rFonts w:cs="Arial"/>
              </w:rPr>
              <w:t>A</w:t>
            </w:r>
          </w:p>
        </w:tc>
        <w:tc>
          <w:tcPr>
            <w:tcW w:w="1491" w:type="dxa"/>
          </w:tcPr>
          <w:p w:rsidR="000630E1" w:rsidRPr="001F2498" w:rsidRDefault="000630E1" w:rsidP="00963531">
            <w:pPr>
              <w:spacing w:after="0" w:line="240" w:lineRule="auto"/>
              <w:jc w:val="center"/>
              <w:rPr>
                <w:rFonts w:cs="Arial"/>
              </w:rPr>
            </w:pPr>
            <w:r>
              <w:rPr>
                <w:rFonts w:cs="Arial"/>
              </w:rPr>
              <w:t>PRO/TEC</w:t>
            </w:r>
          </w:p>
        </w:tc>
        <w:tc>
          <w:tcPr>
            <w:tcW w:w="5587" w:type="dxa"/>
          </w:tcPr>
          <w:p w:rsidR="000630E1" w:rsidRDefault="000630E1" w:rsidP="00963531">
            <w:pPr>
              <w:spacing w:after="0"/>
              <w:rPr>
                <w:b/>
              </w:rPr>
            </w:pPr>
            <w:r>
              <w:rPr>
                <w:b/>
              </w:rPr>
              <w:t xml:space="preserve">Eliminación de la información para la reutilización de </w:t>
            </w:r>
            <w:r w:rsidR="00130442">
              <w:rPr>
                <w:b/>
              </w:rPr>
              <w:t>soportes electrónicos</w:t>
            </w:r>
          </w:p>
          <w:p w:rsidR="000630E1" w:rsidRPr="000C2C92" w:rsidRDefault="000630E1" w:rsidP="00963531">
            <w:pPr>
              <w:spacing w:after="0"/>
            </w:pPr>
            <w:r>
              <w:t>Optas por el proceso de sobrescritura cuando quieres reutilizar un soporte todavía en buen estado.</w:t>
            </w:r>
          </w:p>
        </w:tc>
        <w:tc>
          <w:tcPr>
            <w:tcW w:w="563" w:type="dxa"/>
          </w:tcPr>
          <w:p w:rsidR="000630E1" w:rsidRDefault="00693ADD" w:rsidP="00963531">
            <w:pPr>
              <w:pStyle w:val="Prrafodelista"/>
              <w:spacing w:after="0" w:line="240" w:lineRule="auto"/>
              <w:ind w:left="0"/>
              <w:contextualSpacing w:val="0"/>
              <w:jc w:val="center"/>
              <w:rPr>
                <w:rFonts w:ascii="Segoe UI Symbol" w:hAnsi="Segoe UI Symbol" w:cs="Segoe UI Symbol"/>
                <w:b/>
                <w:sz w:val="32"/>
                <w:szCs w:val="32"/>
              </w:rPr>
            </w:pPr>
            <w:sdt>
              <w:sdtPr>
                <w:rPr>
                  <w:rFonts w:ascii="Segoe UI Symbol" w:hAnsi="Segoe UI Symbol" w:cs="Segoe UI Symbol"/>
                  <w:b/>
                  <w:sz w:val="32"/>
                  <w:szCs w:val="32"/>
                </w:rPr>
                <w:id w:val="203843500"/>
                <w14:checkbox>
                  <w14:checked w14:val="0"/>
                  <w14:checkedState w14:val="00FE" w14:font="Wingdings"/>
                  <w14:uncheckedState w14:val="2610" w14:font="MS Gothic"/>
                </w14:checkbox>
              </w:sdtPr>
              <w:sdtEndPr/>
              <w:sdtContent>
                <w:r w:rsidR="000630E1">
                  <w:rPr>
                    <w:rFonts w:ascii="MS Gothic" w:eastAsia="MS Gothic" w:hAnsi="MS Gothic" w:cs="Segoe UI Symbol" w:hint="eastAsia"/>
                    <w:b/>
                    <w:sz w:val="32"/>
                    <w:szCs w:val="32"/>
                  </w:rPr>
                  <w:t>☐</w:t>
                </w:r>
              </w:sdtContent>
            </w:sdt>
          </w:p>
        </w:tc>
      </w:tr>
      <w:tr w:rsidR="000630E1" w:rsidRPr="00300CED" w:rsidTr="009379D1">
        <w:trPr>
          <w:cantSplit/>
          <w:trHeight w:val="704"/>
        </w:trPr>
        <w:tc>
          <w:tcPr>
            <w:tcW w:w="864" w:type="dxa"/>
          </w:tcPr>
          <w:p w:rsidR="000630E1" w:rsidRPr="001F2498" w:rsidRDefault="000630E1" w:rsidP="00963531">
            <w:pPr>
              <w:spacing w:after="0" w:line="240" w:lineRule="auto"/>
              <w:jc w:val="center"/>
              <w:rPr>
                <w:rFonts w:cs="Arial"/>
              </w:rPr>
            </w:pPr>
            <w:r>
              <w:rPr>
                <w:rFonts w:cs="Arial"/>
              </w:rPr>
              <w:t>A</w:t>
            </w:r>
          </w:p>
        </w:tc>
        <w:tc>
          <w:tcPr>
            <w:tcW w:w="1491" w:type="dxa"/>
          </w:tcPr>
          <w:p w:rsidR="000630E1" w:rsidRPr="001F2498" w:rsidRDefault="000630E1" w:rsidP="00963531">
            <w:pPr>
              <w:spacing w:after="0" w:line="240" w:lineRule="auto"/>
              <w:jc w:val="center"/>
              <w:rPr>
                <w:rFonts w:cs="Arial"/>
              </w:rPr>
            </w:pPr>
            <w:r>
              <w:rPr>
                <w:rFonts w:cs="Arial"/>
              </w:rPr>
              <w:t>PRO/TEC</w:t>
            </w:r>
          </w:p>
        </w:tc>
        <w:tc>
          <w:tcPr>
            <w:tcW w:w="5587" w:type="dxa"/>
          </w:tcPr>
          <w:p w:rsidR="000630E1" w:rsidRDefault="000630E1" w:rsidP="00963531">
            <w:pPr>
              <w:spacing w:after="0"/>
              <w:rPr>
                <w:b/>
              </w:rPr>
            </w:pPr>
            <w:r>
              <w:rPr>
                <w:b/>
              </w:rPr>
              <w:t>Eliminación de la información antes de deshacernos de</w:t>
            </w:r>
            <w:r w:rsidR="00130442">
              <w:rPr>
                <w:b/>
              </w:rPr>
              <w:t xml:space="preserve"> soportes electrónicos</w:t>
            </w:r>
          </w:p>
          <w:p w:rsidR="000630E1" w:rsidRPr="000C2C92" w:rsidRDefault="000630E1" w:rsidP="00963531">
            <w:pPr>
              <w:spacing w:after="0"/>
            </w:pPr>
            <w:r>
              <w:t>Usas el proceso de desmagnetización o de destrucción física antes de desechar el soporte de almacenamiento.</w:t>
            </w:r>
          </w:p>
        </w:tc>
        <w:tc>
          <w:tcPr>
            <w:tcW w:w="563" w:type="dxa"/>
          </w:tcPr>
          <w:p w:rsidR="000630E1" w:rsidRDefault="00693ADD" w:rsidP="00963531">
            <w:pPr>
              <w:pStyle w:val="Prrafodelista"/>
              <w:spacing w:after="0" w:line="240" w:lineRule="auto"/>
              <w:ind w:left="0"/>
              <w:contextualSpacing w:val="0"/>
              <w:jc w:val="center"/>
              <w:rPr>
                <w:rFonts w:ascii="Segoe UI Symbol" w:hAnsi="Segoe UI Symbol" w:cs="Segoe UI Symbol"/>
                <w:b/>
                <w:sz w:val="32"/>
                <w:szCs w:val="32"/>
              </w:rPr>
            </w:pPr>
            <w:sdt>
              <w:sdtPr>
                <w:rPr>
                  <w:rFonts w:ascii="Segoe UI Symbol" w:hAnsi="Segoe UI Symbol" w:cs="Segoe UI Symbol"/>
                  <w:b/>
                  <w:sz w:val="32"/>
                  <w:szCs w:val="32"/>
                </w:rPr>
                <w:id w:val="-1067562290"/>
                <w14:checkbox>
                  <w14:checked w14:val="0"/>
                  <w14:checkedState w14:val="00FE" w14:font="Wingdings"/>
                  <w14:uncheckedState w14:val="2610" w14:font="MS Gothic"/>
                </w14:checkbox>
              </w:sdtPr>
              <w:sdtEndPr/>
              <w:sdtContent>
                <w:r w:rsidR="000630E1">
                  <w:rPr>
                    <w:rFonts w:ascii="MS Gothic" w:eastAsia="MS Gothic" w:hAnsi="MS Gothic" w:cs="Segoe UI Symbol" w:hint="eastAsia"/>
                    <w:b/>
                    <w:sz w:val="32"/>
                    <w:szCs w:val="32"/>
                  </w:rPr>
                  <w:t>☐</w:t>
                </w:r>
              </w:sdtContent>
            </w:sdt>
          </w:p>
        </w:tc>
      </w:tr>
      <w:tr w:rsidR="00130442" w:rsidRPr="00300CED" w:rsidTr="009379D1">
        <w:trPr>
          <w:cantSplit/>
          <w:trHeight w:val="688"/>
        </w:trPr>
        <w:tc>
          <w:tcPr>
            <w:tcW w:w="864" w:type="dxa"/>
          </w:tcPr>
          <w:p w:rsidR="00130442" w:rsidRDefault="00130442" w:rsidP="00130442">
            <w:pPr>
              <w:spacing w:after="0" w:line="240" w:lineRule="auto"/>
              <w:jc w:val="center"/>
              <w:rPr>
                <w:rFonts w:cs="Arial"/>
                <w:szCs w:val="20"/>
              </w:rPr>
            </w:pPr>
            <w:r>
              <w:rPr>
                <w:rFonts w:cs="Arial"/>
              </w:rPr>
              <w:lastRenderedPageBreak/>
              <w:t>A</w:t>
            </w:r>
          </w:p>
        </w:tc>
        <w:tc>
          <w:tcPr>
            <w:tcW w:w="1491" w:type="dxa"/>
          </w:tcPr>
          <w:p w:rsidR="00130442" w:rsidRDefault="00130442" w:rsidP="00130442">
            <w:pPr>
              <w:spacing w:after="0" w:line="240" w:lineRule="auto"/>
              <w:jc w:val="center"/>
              <w:rPr>
                <w:rFonts w:cs="Arial"/>
                <w:szCs w:val="20"/>
              </w:rPr>
            </w:pPr>
            <w:r>
              <w:rPr>
                <w:rFonts w:cs="Arial"/>
              </w:rPr>
              <w:t>PRO/TEC</w:t>
            </w:r>
          </w:p>
        </w:tc>
        <w:tc>
          <w:tcPr>
            <w:tcW w:w="5587" w:type="dxa"/>
          </w:tcPr>
          <w:p w:rsidR="00130442" w:rsidRDefault="00130442" w:rsidP="00130442">
            <w:pPr>
              <w:spacing w:after="0"/>
              <w:rPr>
                <w:b/>
              </w:rPr>
            </w:pPr>
            <w:r>
              <w:rPr>
                <w:b/>
              </w:rPr>
              <w:t>Borrado de información en otros dispositivos</w:t>
            </w:r>
          </w:p>
          <w:p w:rsidR="00130442" w:rsidRPr="0064552E" w:rsidRDefault="00130442">
            <w:pPr>
              <w:spacing w:after="0"/>
              <w:rPr>
                <w:b/>
              </w:rPr>
            </w:pPr>
            <w:r>
              <w:t>Eliminas la información en teléfonos móviles</w:t>
            </w:r>
            <w:r w:rsidR="00015296">
              <w:t xml:space="preserve">, impresoras, GPS, etc. (memoria y tarjetas) </w:t>
            </w:r>
            <w:r>
              <w:t xml:space="preserve">antes de </w:t>
            </w:r>
            <w:r w:rsidR="00015296">
              <w:t>deshacernos de ellos</w:t>
            </w:r>
            <w:r>
              <w:t>.</w:t>
            </w:r>
          </w:p>
        </w:tc>
        <w:tc>
          <w:tcPr>
            <w:tcW w:w="563" w:type="dxa"/>
          </w:tcPr>
          <w:p w:rsidR="00130442" w:rsidRDefault="00693ADD" w:rsidP="00130442">
            <w:pPr>
              <w:pStyle w:val="Prrafodelista"/>
              <w:spacing w:after="0" w:line="240" w:lineRule="auto"/>
              <w:ind w:left="0"/>
              <w:contextualSpacing w:val="0"/>
              <w:jc w:val="center"/>
              <w:rPr>
                <w:rFonts w:ascii="Segoe UI Symbol" w:hAnsi="Segoe UI Symbol" w:cs="Segoe UI Symbol"/>
                <w:b/>
                <w:sz w:val="32"/>
                <w:szCs w:val="32"/>
              </w:rPr>
            </w:pPr>
            <w:sdt>
              <w:sdtPr>
                <w:rPr>
                  <w:rFonts w:ascii="Segoe UI Symbol" w:hAnsi="Segoe UI Symbol" w:cs="Segoe UI Symbol"/>
                  <w:b/>
                  <w:sz w:val="32"/>
                  <w:szCs w:val="32"/>
                </w:rPr>
                <w:id w:val="1324632648"/>
                <w14:checkbox>
                  <w14:checked w14:val="0"/>
                  <w14:checkedState w14:val="00FE" w14:font="Wingdings"/>
                  <w14:uncheckedState w14:val="2610" w14:font="MS Gothic"/>
                </w14:checkbox>
              </w:sdtPr>
              <w:sdtEndPr/>
              <w:sdtContent>
                <w:r w:rsidR="00130442">
                  <w:rPr>
                    <w:rFonts w:ascii="MS Gothic" w:eastAsia="MS Gothic" w:hAnsi="MS Gothic" w:cs="Segoe UI Symbol" w:hint="eastAsia"/>
                    <w:b/>
                    <w:sz w:val="32"/>
                    <w:szCs w:val="32"/>
                  </w:rPr>
                  <w:t>☐</w:t>
                </w:r>
              </w:sdtContent>
            </w:sdt>
          </w:p>
        </w:tc>
      </w:tr>
      <w:tr w:rsidR="00130442" w:rsidRPr="00300CED" w:rsidTr="009379D1">
        <w:trPr>
          <w:cantSplit/>
          <w:trHeight w:val="688"/>
        </w:trPr>
        <w:tc>
          <w:tcPr>
            <w:tcW w:w="864" w:type="dxa"/>
          </w:tcPr>
          <w:p w:rsidR="00130442" w:rsidRDefault="00130442" w:rsidP="00130442">
            <w:pPr>
              <w:spacing w:after="0" w:line="240" w:lineRule="auto"/>
              <w:jc w:val="center"/>
              <w:rPr>
                <w:rFonts w:cs="Arial"/>
                <w:szCs w:val="20"/>
              </w:rPr>
            </w:pPr>
            <w:r>
              <w:rPr>
                <w:rFonts w:cs="Arial"/>
                <w:szCs w:val="20"/>
              </w:rPr>
              <w:t>A</w:t>
            </w:r>
          </w:p>
        </w:tc>
        <w:tc>
          <w:tcPr>
            <w:tcW w:w="1491" w:type="dxa"/>
          </w:tcPr>
          <w:p w:rsidR="00130442" w:rsidRDefault="00130442" w:rsidP="00130442">
            <w:pPr>
              <w:spacing w:after="0" w:line="240" w:lineRule="auto"/>
              <w:jc w:val="center"/>
              <w:rPr>
                <w:rFonts w:cs="Arial"/>
                <w:szCs w:val="20"/>
              </w:rPr>
            </w:pPr>
            <w:r>
              <w:rPr>
                <w:rFonts w:cs="Arial"/>
                <w:szCs w:val="20"/>
              </w:rPr>
              <w:t>TEC</w:t>
            </w:r>
          </w:p>
        </w:tc>
        <w:tc>
          <w:tcPr>
            <w:tcW w:w="5587" w:type="dxa"/>
          </w:tcPr>
          <w:p w:rsidR="00130442" w:rsidRDefault="00130442" w:rsidP="00130442">
            <w:pPr>
              <w:spacing w:after="0"/>
              <w:rPr>
                <w:b/>
              </w:rPr>
            </w:pPr>
            <w:r w:rsidRPr="0064552E">
              <w:rPr>
                <w:b/>
              </w:rPr>
              <w:t>Documentación de las operaciones de borrado realizadas</w:t>
            </w:r>
          </w:p>
          <w:p w:rsidR="00130442" w:rsidRDefault="00130442">
            <w:pPr>
              <w:spacing w:after="0"/>
            </w:pPr>
            <w:r>
              <w:t>Eli</w:t>
            </w:r>
            <w:r w:rsidRPr="002E4FF6">
              <w:t>g</w:t>
            </w:r>
            <w:r>
              <w:t>es una herramienta de borrado que permita</w:t>
            </w:r>
            <w:r w:rsidRPr="002E4FF6">
              <w:t xml:space="preserve"> la obtención de un documento que identifique claramente que el proceso de borrado se ha realiza</w:t>
            </w:r>
            <w:r w:rsidRPr="002E4FF6">
              <w:softHyphen/>
              <w:t>do, detallando cuándo y cómo ha sido realizado.</w:t>
            </w:r>
          </w:p>
        </w:tc>
        <w:tc>
          <w:tcPr>
            <w:tcW w:w="563" w:type="dxa"/>
          </w:tcPr>
          <w:p w:rsidR="00130442" w:rsidRPr="00D2579B" w:rsidRDefault="00693ADD" w:rsidP="00130442">
            <w:pPr>
              <w:pStyle w:val="Prrafodelista"/>
              <w:spacing w:after="0" w:line="240" w:lineRule="auto"/>
              <w:ind w:left="0"/>
              <w:contextualSpacing w:val="0"/>
              <w:jc w:val="center"/>
              <w:rPr>
                <w:rFonts w:cs="Arial"/>
                <w:b/>
                <w:sz w:val="32"/>
                <w:szCs w:val="32"/>
              </w:rPr>
            </w:pPr>
            <w:sdt>
              <w:sdtPr>
                <w:rPr>
                  <w:rFonts w:ascii="Segoe UI Symbol" w:hAnsi="Segoe UI Symbol" w:cs="Segoe UI Symbol"/>
                  <w:b/>
                  <w:sz w:val="32"/>
                  <w:szCs w:val="32"/>
                </w:rPr>
                <w:id w:val="-1953689875"/>
                <w14:checkbox>
                  <w14:checked w14:val="0"/>
                  <w14:checkedState w14:val="00FE" w14:font="Wingdings"/>
                  <w14:uncheckedState w14:val="2610" w14:font="MS Gothic"/>
                </w14:checkbox>
              </w:sdtPr>
              <w:sdtEndPr/>
              <w:sdtContent>
                <w:r w:rsidR="00130442">
                  <w:rPr>
                    <w:rFonts w:ascii="MS Gothic" w:eastAsia="MS Gothic" w:hAnsi="MS Gothic" w:cs="Segoe UI Symbol" w:hint="eastAsia"/>
                    <w:b/>
                    <w:sz w:val="32"/>
                    <w:szCs w:val="32"/>
                  </w:rPr>
                  <w:t>☐</w:t>
                </w:r>
              </w:sdtContent>
            </w:sdt>
          </w:p>
        </w:tc>
      </w:tr>
      <w:tr w:rsidR="00130442" w:rsidRPr="00300CED" w:rsidTr="009379D1">
        <w:trPr>
          <w:cantSplit/>
          <w:trHeight w:val="688"/>
        </w:trPr>
        <w:tc>
          <w:tcPr>
            <w:tcW w:w="864" w:type="dxa"/>
          </w:tcPr>
          <w:p w:rsidR="00130442" w:rsidRDefault="00130442" w:rsidP="00130442">
            <w:pPr>
              <w:spacing w:after="0" w:line="240" w:lineRule="auto"/>
              <w:jc w:val="center"/>
              <w:rPr>
                <w:rFonts w:cs="Arial"/>
                <w:szCs w:val="20"/>
              </w:rPr>
            </w:pPr>
            <w:r>
              <w:rPr>
                <w:rFonts w:cs="Arial"/>
                <w:szCs w:val="20"/>
              </w:rPr>
              <w:t>A</w:t>
            </w:r>
          </w:p>
        </w:tc>
        <w:tc>
          <w:tcPr>
            <w:tcW w:w="1491" w:type="dxa"/>
          </w:tcPr>
          <w:p w:rsidR="00130442" w:rsidDel="003D062B" w:rsidRDefault="00130442" w:rsidP="00130442">
            <w:pPr>
              <w:spacing w:after="0" w:line="240" w:lineRule="auto"/>
              <w:jc w:val="center"/>
              <w:rPr>
                <w:rFonts w:cs="Arial"/>
                <w:szCs w:val="20"/>
              </w:rPr>
            </w:pPr>
            <w:r>
              <w:rPr>
                <w:rFonts w:cs="Arial"/>
                <w:szCs w:val="20"/>
              </w:rPr>
              <w:t>TEC</w:t>
            </w:r>
          </w:p>
        </w:tc>
        <w:tc>
          <w:tcPr>
            <w:tcW w:w="5587" w:type="dxa"/>
          </w:tcPr>
          <w:p w:rsidR="00130442" w:rsidRDefault="00130442" w:rsidP="00130442">
            <w:pPr>
              <w:spacing w:after="0"/>
              <w:rPr>
                <w:b/>
              </w:rPr>
            </w:pPr>
            <w:r>
              <w:rPr>
                <w:b/>
              </w:rPr>
              <w:t>Destrucción certificada</w:t>
            </w:r>
          </w:p>
          <w:p w:rsidR="00130442" w:rsidRPr="00F44B3F" w:rsidRDefault="00130442" w:rsidP="00DF25CB">
            <w:pPr>
              <w:spacing w:after="0"/>
            </w:pPr>
            <w:r>
              <w:t xml:space="preserve">Utilizas un servicio de </w:t>
            </w:r>
            <w:r w:rsidRPr="00F44B3F">
              <w:t xml:space="preserve">destrucción certificada para garantizar la destrucción de datos confidenciales o para cumplir un acuerdo con </w:t>
            </w:r>
            <w:r>
              <w:t>otra</w:t>
            </w:r>
            <w:r w:rsidRPr="00F44B3F">
              <w:t xml:space="preserve"> empresa</w:t>
            </w:r>
            <w:r>
              <w:t xml:space="preserve"> o con </w:t>
            </w:r>
            <w:r w:rsidR="00DF25CB">
              <w:t>el RGPD</w:t>
            </w:r>
            <w:r>
              <w:t>.</w:t>
            </w:r>
          </w:p>
        </w:tc>
        <w:tc>
          <w:tcPr>
            <w:tcW w:w="563" w:type="dxa"/>
          </w:tcPr>
          <w:p w:rsidR="00130442" w:rsidRDefault="00693ADD" w:rsidP="00130442">
            <w:pPr>
              <w:pStyle w:val="Prrafodelista"/>
              <w:spacing w:after="0" w:line="240" w:lineRule="auto"/>
              <w:ind w:left="0"/>
              <w:contextualSpacing w:val="0"/>
              <w:jc w:val="center"/>
              <w:rPr>
                <w:rFonts w:ascii="Segoe UI Symbol" w:hAnsi="Segoe UI Symbol" w:cs="Segoe UI Symbol"/>
                <w:b/>
                <w:sz w:val="32"/>
                <w:szCs w:val="32"/>
              </w:rPr>
            </w:pPr>
            <w:sdt>
              <w:sdtPr>
                <w:rPr>
                  <w:rFonts w:ascii="Segoe UI Symbol" w:hAnsi="Segoe UI Symbol" w:cs="Segoe UI Symbol"/>
                  <w:b/>
                  <w:sz w:val="32"/>
                  <w:szCs w:val="32"/>
                </w:rPr>
                <w:id w:val="-1594084235"/>
                <w14:checkbox>
                  <w14:checked w14:val="0"/>
                  <w14:checkedState w14:val="00FE" w14:font="Wingdings"/>
                  <w14:uncheckedState w14:val="2610" w14:font="MS Gothic"/>
                </w14:checkbox>
              </w:sdtPr>
              <w:sdtEndPr/>
              <w:sdtContent>
                <w:r w:rsidR="00130442">
                  <w:rPr>
                    <w:rFonts w:ascii="MS Gothic" w:eastAsia="MS Gothic" w:hAnsi="MS Gothic" w:cs="Segoe UI Symbol" w:hint="eastAsia"/>
                    <w:b/>
                    <w:sz w:val="32"/>
                    <w:szCs w:val="32"/>
                  </w:rPr>
                  <w:t>☐</w:t>
                </w:r>
              </w:sdtContent>
            </w:sdt>
          </w:p>
        </w:tc>
      </w:tr>
    </w:tbl>
    <w:p w:rsidR="000630E1" w:rsidRDefault="000630E1" w:rsidP="000630E1"/>
    <w:p w:rsidR="000630E1" w:rsidRDefault="000630E1" w:rsidP="000630E1"/>
    <w:p w:rsidR="000630E1" w:rsidRDefault="000630E1" w:rsidP="000630E1"/>
    <w:p w:rsidR="000630E1" w:rsidRDefault="000630E1" w:rsidP="000630E1"/>
    <w:p w:rsidR="000630E1" w:rsidRPr="003764CB" w:rsidRDefault="000630E1" w:rsidP="000630E1">
      <w:pPr>
        <w:spacing w:before="120" w:line="240" w:lineRule="auto"/>
        <w:rPr>
          <w:rFonts w:cs="Arial"/>
          <w:i/>
        </w:rPr>
      </w:pPr>
      <w:r w:rsidRPr="003764CB">
        <w:rPr>
          <w:rFonts w:cs="Arial"/>
          <w:b/>
          <w:bCs/>
        </w:rPr>
        <w:t>Revisado por</w:t>
      </w:r>
      <w:r w:rsidRPr="003764CB">
        <w:rPr>
          <w:rFonts w:cs="Arial"/>
        </w:rPr>
        <w:t>: ___________________________</w:t>
      </w:r>
      <w:r w:rsidRPr="003764CB">
        <w:rPr>
          <w:rFonts w:cs="Arial"/>
        </w:rPr>
        <w:tab/>
      </w:r>
      <w:r w:rsidRPr="003764CB">
        <w:rPr>
          <w:rFonts w:cs="Arial"/>
        </w:rPr>
        <w:tab/>
      </w:r>
      <w:r w:rsidRPr="003764CB">
        <w:rPr>
          <w:rFonts w:cs="Arial"/>
          <w:b/>
        </w:rPr>
        <w:t>Fecha:</w:t>
      </w:r>
      <w:r w:rsidRPr="003764CB">
        <w:rPr>
          <w:rFonts w:cs="Arial"/>
        </w:rPr>
        <w:t xml:space="preserve"> __________</w:t>
      </w:r>
    </w:p>
    <w:p w:rsidR="000630E1" w:rsidRPr="0083344C" w:rsidRDefault="000630E1" w:rsidP="000630E1"/>
    <w:p w:rsidR="000630E1" w:rsidRDefault="000630E1" w:rsidP="000630E1">
      <w:pPr>
        <w:spacing w:after="0" w:line="240" w:lineRule="auto"/>
        <w:jc w:val="left"/>
        <w:rPr>
          <w:rFonts w:cs="Arial"/>
          <w:b/>
          <w:bCs/>
          <w:iCs/>
          <w:sz w:val="28"/>
          <w:szCs w:val="28"/>
        </w:rPr>
      </w:pPr>
      <w:r>
        <w:br w:type="page"/>
      </w:r>
    </w:p>
    <w:p w:rsidR="000630E1" w:rsidRDefault="000630E1" w:rsidP="000630E1">
      <w:pPr>
        <w:pStyle w:val="Ttulo2"/>
      </w:pPr>
      <w:bookmarkStart w:id="13" w:name="_Toc480468800"/>
      <w:r w:rsidRPr="00470B73">
        <w:lastRenderedPageBreak/>
        <w:t>Puntos clave</w:t>
      </w:r>
      <w:bookmarkEnd w:id="13"/>
    </w:p>
    <w:p w:rsidR="000630E1" w:rsidRDefault="000630E1" w:rsidP="000630E1">
      <w:r>
        <w:t xml:space="preserve">Los puntos clave de esta política </w:t>
      </w:r>
      <w:r w:rsidR="00BC0AA9">
        <w:t>son:</w:t>
      </w:r>
    </w:p>
    <w:p w:rsidR="000630E1" w:rsidRPr="002B3092" w:rsidRDefault="000630E1" w:rsidP="002B3092">
      <w:pPr>
        <w:pStyle w:val="BulletsNivel1"/>
      </w:pPr>
      <w:r w:rsidRPr="00015296">
        <w:rPr>
          <w:b/>
        </w:rPr>
        <w:t>Inventario de activos</w:t>
      </w:r>
      <w:r w:rsidRPr="002B3092">
        <w:t>:</w:t>
      </w:r>
      <w:r w:rsidR="00015296" w:rsidRPr="002B3092">
        <w:t xml:space="preserve"> </w:t>
      </w:r>
      <w:r w:rsidR="001C21BF">
        <w:t xml:space="preserve">tendremos que </w:t>
      </w:r>
      <w:r w:rsidR="00015296">
        <w:t>r</w:t>
      </w:r>
      <w:r w:rsidRPr="002B3092">
        <w:t>ealizar un seguimiento de los dispositivos que están en funcionamiento (CD, DVD, Flash USB, discos magnéticos, tarjetas de memoria…), las perso</w:t>
      </w:r>
      <w:r w:rsidRPr="002B3092">
        <w:softHyphen/>
        <w:t>nas o departamentos responsables de esos dispositivos, la información contenida en ellos y su clasificación en función del grado de criticidad para el negocio.</w:t>
      </w:r>
    </w:p>
    <w:p w:rsidR="000630E1" w:rsidRPr="002B3092" w:rsidRDefault="000630E1" w:rsidP="002B3092">
      <w:pPr>
        <w:pStyle w:val="BulletsNivel1"/>
      </w:pPr>
      <w:r w:rsidRPr="00015296">
        <w:rPr>
          <w:b/>
        </w:rPr>
        <w:t>Gestión de soportes</w:t>
      </w:r>
      <w:r w:rsidRPr="002B3092">
        <w:t xml:space="preserve">: </w:t>
      </w:r>
      <w:r w:rsidR="00015296">
        <w:t>s</w:t>
      </w:r>
      <w:r w:rsidRPr="002B3092">
        <w:t>upervisar</w:t>
      </w:r>
      <w:r w:rsidR="001C21BF">
        <w:t>emos</w:t>
      </w:r>
      <w:r w:rsidRPr="002B3092">
        <w:t xml:space="preserve"> los dispositivos que almacenan información corporativa, en particular los que se usan para realizar las copias de seguri</w:t>
      </w:r>
      <w:r w:rsidRPr="002B3092">
        <w:softHyphen/>
        <w:t>dad, documentando cualquier operación realizada sobre los mismos: mantenimiento, repa</w:t>
      </w:r>
      <w:r w:rsidRPr="002B3092">
        <w:softHyphen/>
        <w:t>ración, sustitución, etc.</w:t>
      </w:r>
    </w:p>
    <w:p w:rsidR="000630E1" w:rsidRDefault="000630E1" w:rsidP="000630E1">
      <w:pPr>
        <w:pStyle w:val="BulletsNivel1"/>
        <w:numPr>
          <w:ilvl w:val="0"/>
          <w:numId w:val="4"/>
        </w:numPr>
        <w:ind w:left="714" w:hanging="357"/>
        <w:rPr>
          <w:b/>
        </w:rPr>
      </w:pPr>
      <w:r w:rsidRPr="005B1B40">
        <w:rPr>
          <w:b/>
        </w:rPr>
        <w:t>Eliminación de la información</w:t>
      </w:r>
      <w:r>
        <w:rPr>
          <w:b/>
        </w:rPr>
        <w:t>:</w:t>
      </w:r>
      <w:r w:rsidRPr="005B1B40">
        <w:rPr>
          <w:b/>
        </w:rPr>
        <w:t xml:space="preserve"> </w:t>
      </w:r>
    </w:p>
    <w:p w:rsidR="000630E1" w:rsidRDefault="000630E1" w:rsidP="000630E1">
      <w:pPr>
        <w:pStyle w:val="BulletsNivel2"/>
        <w:numPr>
          <w:ilvl w:val="1"/>
          <w:numId w:val="3"/>
        </w:numPr>
      </w:pPr>
      <w:r>
        <w:t>En soportes no electrónicos y soportes magnéticos:</w:t>
      </w:r>
    </w:p>
    <w:p w:rsidR="000630E1" w:rsidRPr="00E242B9" w:rsidRDefault="000630E1" w:rsidP="000630E1">
      <w:pPr>
        <w:pStyle w:val="BulletsNivel3"/>
        <w:numPr>
          <w:ilvl w:val="2"/>
          <w:numId w:val="3"/>
        </w:numPr>
      </w:pPr>
      <w:r>
        <w:t>Para eliminar la información que ya no se considera necesaria para la organización en este tipo de soportes (documentos impresos, CD, DVD, cintas magnéticas, radiografías, etc.) debemos utilizar la opción de triturado como modo seguro de eliminación.</w:t>
      </w:r>
    </w:p>
    <w:p w:rsidR="000630E1" w:rsidRDefault="000630E1" w:rsidP="000630E1">
      <w:pPr>
        <w:pStyle w:val="BulletsNivel2"/>
        <w:numPr>
          <w:ilvl w:val="1"/>
          <w:numId w:val="3"/>
        </w:numPr>
      </w:pPr>
      <w:r>
        <w:t xml:space="preserve">Para la reutilización de </w:t>
      </w:r>
      <w:r w:rsidR="00130442">
        <w:t>soportes electrónicos</w:t>
      </w:r>
      <w:r>
        <w:t xml:space="preserve">: </w:t>
      </w:r>
    </w:p>
    <w:p w:rsidR="000630E1" w:rsidRDefault="000630E1" w:rsidP="000630E1">
      <w:pPr>
        <w:pStyle w:val="BulletsNivel3"/>
        <w:numPr>
          <w:ilvl w:val="2"/>
          <w:numId w:val="3"/>
        </w:numPr>
      </w:pPr>
      <w:r>
        <w:t xml:space="preserve">Si queremos reutilizar un soporte que ya contiene datos, debemos utilizar la opción de sobrescritura para garantizar un borrado total de la información. La </w:t>
      </w:r>
      <w:r>
        <w:rPr>
          <w:rStyle w:val="bold"/>
        </w:rPr>
        <w:t>sobrescritura</w:t>
      </w:r>
      <w:r>
        <w:t xml:space="preserve"> se puede utilizar en todos los dispositivos regrabables (discos duros, pendrives o pinchos USB, etc.) siempre que el dispositivo no esté dañado.</w:t>
      </w:r>
    </w:p>
    <w:p w:rsidR="000630E1" w:rsidRDefault="000630E1" w:rsidP="000630E1">
      <w:pPr>
        <w:pStyle w:val="BulletsNivel2"/>
        <w:numPr>
          <w:ilvl w:val="1"/>
          <w:numId w:val="3"/>
        </w:numPr>
      </w:pPr>
      <w:r>
        <w:t xml:space="preserve">Antes de deshacernos del </w:t>
      </w:r>
      <w:r w:rsidR="00130442">
        <w:t>soportes electrónicos</w:t>
      </w:r>
      <w:r>
        <w:t>:</w:t>
      </w:r>
    </w:p>
    <w:p w:rsidR="000630E1" w:rsidRDefault="000630E1" w:rsidP="000630E1">
      <w:pPr>
        <w:pStyle w:val="BulletsNivel3"/>
        <w:numPr>
          <w:ilvl w:val="2"/>
          <w:numId w:val="3"/>
        </w:numPr>
        <w:rPr>
          <w:rStyle w:val="bold"/>
        </w:rPr>
      </w:pPr>
      <w:r>
        <w:t xml:space="preserve">Cuando queremos desechar algún soporte de almacenamiento porque ya no funcione o porque se haya quedado obsoleto debemos utilizar los métodos de </w:t>
      </w:r>
      <w:r>
        <w:rPr>
          <w:rStyle w:val="bold"/>
        </w:rPr>
        <w:t xml:space="preserve">desmagnetización </w:t>
      </w:r>
      <w:r>
        <w:t xml:space="preserve">o </w:t>
      </w:r>
      <w:r>
        <w:rPr>
          <w:rStyle w:val="bold"/>
        </w:rPr>
        <w:t>destrucción física. Cualquiera de estos dos métodos imposibilita la reutilización del dispositivo.</w:t>
      </w:r>
    </w:p>
    <w:p w:rsidR="000630E1" w:rsidRDefault="000630E1" w:rsidP="002B3092">
      <w:pPr>
        <w:pStyle w:val="BulletsNivel2"/>
      </w:pPr>
      <w:r>
        <w:rPr>
          <w:rStyle w:val="bold"/>
        </w:rPr>
        <w:t>Prestar una especial atención cuando queramos deshacernos de dispositivos móviles (</w:t>
      </w:r>
      <w:r w:rsidRPr="003B09E6">
        <w:rPr>
          <w:rStyle w:val="bold"/>
          <w:i/>
        </w:rPr>
        <w:t>smartphones</w:t>
      </w:r>
      <w:r>
        <w:rPr>
          <w:rStyle w:val="bold"/>
        </w:rPr>
        <w:t>, tabletas, etc.) y dispositivos que almacenan información de uso (impresoras, GPS, etc.) ya que también pueden contener información empresarial confidencial.</w:t>
      </w:r>
    </w:p>
    <w:p w:rsidR="000630E1" w:rsidRPr="002B3092" w:rsidRDefault="000630E1" w:rsidP="002B3092">
      <w:pPr>
        <w:pStyle w:val="BulletsNivel1"/>
      </w:pPr>
      <w:r w:rsidRPr="00015296">
        <w:rPr>
          <w:b/>
        </w:rPr>
        <w:t>Documentación de las operaciones de borrado</w:t>
      </w:r>
      <w:r w:rsidRPr="002B3092">
        <w:t xml:space="preserve"> </w:t>
      </w:r>
      <w:r w:rsidRPr="001C21BF">
        <w:rPr>
          <w:b/>
        </w:rPr>
        <w:t>realizadas</w:t>
      </w:r>
      <w:r w:rsidRPr="002B3092">
        <w:t>:</w:t>
      </w:r>
      <w:r w:rsidR="00015296" w:rsidRPr="002B3092">
        <w:t xml:space="preserve"> </w:t>
      </w:r>
      <w:r w:rsidR="00015296">
        <w:t>a</w:t>
      </w:r>
      <w:r w:rsidR="00015296" w:rsidRPr="002B3092">
        <w:t xml:space="preserve">l </w:t>
      </w:r>
      <w:r w:rsidRPr="002B3092">
        <w:t>seleccionar una herramienta de borrado, elegir aquella que permita la obtención de un documento que identifique claramente que el proceso de borrado se ha realiza</w:t>
      </w:r>
      <w:r w:rsidRPr="002B3092">
        <w:softHyphen/>
        <w:t>do, detallando cuándo y cómo ha sido realizado.</w:t>
      </w:r>
    </w:p>
    <w:p w:rsidR="00015296" w:rsidRDefault="000630E1" w:rsidP="002B3092">
      <w:pPr>
        <w:pStyle w:val="BulletsNivel1"/>
      </w:pPr>
      <w:r w:rsidRPr="00015296">
        <w:rPr>
          <w:b/>
        </w:rPr>
        <w:t>Destrucción certificada</w:t>
      </w:r>
      <w:r w:rsidRPr="002B3092">
        <w:t>:</w:t>
      </w:r>
      <w:r w:rsidRPr="00015296">
        <w:t xml:space="preserve"> </w:t>
      </w:r>
      <w:r w:rsidR="00015296">
        <w:t>e</w:t>
      </w:r>
      <w:r w:rsidR="00015296" w:rsidRPr="00015296">
        <w:t xml:space="preserve">xiste </w:t>
      </w:r>
      <w:r w:rsidRPr="00015296">
        <w:t>la opción de contratar una empresa que realice una destrucción certificada. Esta empresa se encargará de llevar a cabo el proceso de eliminación de la información garantizando la gestión y control de recogida, transporte y destrucción del material confidencial. Después de llevar a cabo la destrucción, la empresa emite un certificado que garantiza la validez de todo el proceso.</w:t>
      </w:r>
      <w:r w:rsidR="00015296">
        <w:t xml:space="preserve"> </w:t>
      </w:r>
    </w:p>
    <w:p w:rsidR="000630E1" w:rsidRPr="00015296" w:rsidRDefault="000630E1" w:rsidP="002B3092">
      <w:pPr>
        <w:pStyle w:val="BulletsNivel1"/>
        <w:numPr>
          <w:ilvl w:val="0"/>
          <w:numId w:val="0"/>
        </w:numPr>
        <w:ind w:left="720"/>
      </w:pPr>
      <w:r w:rsidRPr="00015296">
        <w:lastRenderedPageBreak/>
        <w:t>Esta alternativa es muy útil si queremos garantizar la destrucción de datos confidenciales (cumpliendo la normativa de</w:t>
      </w:r>
      <w:r w:rsidR="00DF25CB">
        <w:t>l RGPD</w:t>
      </w:r>
      <w:r w:rsidRPr="00015296">
        <w:t>) y en el caso de que nos viéramos obligados a ello por un contrato o acuerdo con otra empresa.</w:t>
      </w:r>
    </w:p>
    <w:p w:rsidR="000630E1" w:rsidRPr="00EC1F6B" w:rsidRDefault="000630E1" w:rsidP="000630E1"/>
    <w:p w:rsidR="000630E1" w:rsidRPr="005B1B40" w:rsidRDefault="000630E1" w:rsidP="000630E1">
      <w:pPr>
        <w:pStyle w:val="BulletsNivel1"/>
        <w:numPr>
          <w:ilvl w:val="0"/>
          <w:numId w:val="0"/>
        </w:numPr>
        <w:ind w:left="714"/>
        <w:rPr>
          <w:b/>
        </w:rPr>
      </w:pPr>
    </w:p>
    <w:p w:rsidR="000630E1" w:rsidRPr="005B1B40" w:rsidRDefault="000630E1" w:rsidP="000630E1">
      <w:pPr>
        <w:spacing w:after="0" w:line="240" w:lineRule="auto"/>
        <w:jc w:val="left"/>
        <w:rPr>
          <w:rFonts w:asciiTheme="minorHAnsi" w:hAnsiTheme="minorHAnsi" w:cs="Source Sans Pro"/>
          <w:color w:val="000000"/>
        </w:rPr>
      </w:pPr>
      <w:r>
        <w:rPr>
          <w:rFonts w:cs="Source Sans Pro"/>
          <w:color w:val="000000"/>
        </w:rPr>
        <w:br w:type="page"/>
      </w:r>
    </w:p>
    <w:p w:rsidR="007A5007" w:rsidRDefault="00C116F3" w:rsidP="0000637C">
      <w:pPr>
        <w:pStyle w:val="Ttulo1"/>
      </w:pPr>
      <w:bookmarkStart w:id="14" w:name="_Toc474233332"/>
      <w:bookmarkStart w:id="15" w:name="_Toc474233333"/>
      <w:bookmarkStart w:id="16" w:name="_Toc480468801"/>
      <w:bookmarkStart w:id="17" w:name="referencias"/>
      <w:bookmarkEnd w:id="14"/>
      <w:bookmarkEnd w:id="15"/>
      <w:r>
        <w:lastRenderedPageBreak/>
        <w:t>Referencias</w:t>
      </w:r>
      <w:bookmarkEnd w:id="16"/>
      <w:r>
        <w:t xml:space="preserve"> </w:t>
      </w:r>
      <w:bookmarkEnd w:id="0"/>
      <w:bookmarkEnd w:id="1"/>
    </w:p>
    <w:bookmarkEnd w:id="17"/>
    <w:p w:rsidR="000630E1" w:rsidRDefault="00DF25CB" w:rsidP="00DF25CB">
      <w:pPr>
        <w:pStyle w:val="Prrafodelista"/>
        <w:numPr>
          <w:ilvl w:val="0"/>
          <w:numId w:val="55"/>
        </w:numPr>
        <w:jc w:val="left"/>
      </w:pPr>
      <w:r w:rsidRPr="00DF25CB">
        <w:t>Reglamento (</w:t>
      </w:r>
      <w:r>
        <w:t>UE</w:t>
      </w:r>
      <w:r w:rsidRPr="00DF25CB">
        <w:t>)</w:t>
      </w:r>
      <w:r>
        <w:t xml:space="preserve"> 2016/679 del Parlamento Europeo y del Consejo</w:t>
      </w:r>
      <w:r w:rsidR="000630E1">
        <w:t xml:space="preserve"> ·</w:t>
      </w:r>
      <w:r>
        <w:t xml:space="preserve"> </w:t>
      </w:r>
      <w:hyperlink r:id="rId13" w:history="1">
        <w:r w:rsidRPr="009A5C14">
          <w:rPr>
            <w:rStyle w:val="Hipervnculo"/>
          </w:rPr>
          <w:t>https://eur-lex.europa.eu/legal-content/ES/TXT/HTML/?uri=CELEX:32016R0679&amp;from=es</w:t>
        </w:r>
      </w:hyperlink>
    </w:p>
    <w:p w:rsidR="000630E1" w:rsidRPr="00C7752A" w:rsidRDefault="00BF3266" w:rsidP="00C7752A">
      <w:pPr>
        <w:pStyle w:val="Prrafodelista"/>
        <w:numPr>
          <w:ilvl w:val="0"/>
          <w:numId w:val="55"/>
        </w:numPr>
        <w:jc w:val="left"/>
        <w:rPr>
          <w:rStyle w:val="Hipervnculo"/>
          <w:rFonts w:cs="Arial"/>
          <w:bCs/>
          <w:iCs/>
          <w:u w:val="none"/>
        </w:rPr>
      </w:pPr>
      <w:r w:rsidRPr="00C7752A">
        <w:rPr>
          <w:rStyle w:val="Hipervnculo"/>
          <w:rFonts w:cs="Arial"/>
          <w:bCs/>
          <w:iCs/>
          <w:color w:val="auto"/>
          <w:u w:val="none"/>
        </w:rPr>
        <w:t>Incibe – Protege tu empresa – Blog</w:t>
      </w:r>
      <w:r w:rsidR="00E07A74">
        <w:rPr>
          <w:rStyle w:val="Hipervnculo"/>
          <w:rFonts w:cs="Arial"/>
          <w:bCs/>
          <w:iCs/>
          <w:color w:val="auto"/>
          <w:u w:val="none"/>
        </w:rPr>
        <w:t xml:space="preserve"> </w:t>
      </w:r>
      <w:r w:rsidRPr="00C7752A">
        <w:rPr>
          <w:rStyle w:val="Hipervnculo"/>
          <w:rFonts w:cs="Arial"/>
          <w:bCs/>
          <w:iCs/>
          <w:color w:val="auto"/>
          <w:u w:val="none"/>
        </w:rPr>
        <w:t xml:space="preserve">– </w:t>
      </w:r>
      <w:r w:rsidR="000630E1">
        <w:t>Borrado</w:t>
      </w:r>
      <w:r w:rsidR="000630E1" w:rsidRPr="00C604F4">
        <w:t xml:space="preserve"> seguro de la información</w:t>
      </w:r>
      <w:r>
        <w:t>: u</w:t>
      </w:r>
      <w:r w:rsidR="000630E1" w:rsidRPr="00C604F4">
        <w:t>na guía de aproximación para el empresario</w:t>
      </w:r>
      <w:r w:rsidR="000630E1" w:rsidRPr="00C7752A" w:rsidDel="00F87A99">
        <w:rPr>
          <w:color w:val="C00000"/>
        </w:rPr>
        <w:t xml:space="preserve"> </w:t>
      </w:r>
      <w:r w:rsidR="000630E1">
        <w:t xml:space="preserve">· </w:t>
      </w:r>
      <w:hyperlink r:id="rId14" w:history="1">
        <w:r w:rsidR="00094093" w:rsidRPr="00E03432">
          <w:rPr>
            <w:rStyle w:val="Hipervnculo"/>
          </w:rPr>
          <w:t>https://www.incibe.es/protege-tu-empresa/guias/borrado-seguro-informacion-aproximacion-el-empresario</w:t>
        </w:r>
      </w:hyperlink>
      <w:r w:rsidR="00094093">
        <w:rPr>
          <w:rStyle w:val="Hipervnculo"/>
          <w:rFonts w:cs="Arial"/>
          <w:bCs/>
          <w:iCs/>
          <w:u w:val="none"/>
        </w:rPr>
        <w:t xml:space="preserve"> </w:t>
      </w:r>
    </w:p>
    <w:p w:rsidR="000630E1" w:rsidRPr="00C7752A" w:rsidRDefault="00BF3266" w:rsidP="00C7752A">
      <w:pPr>
        <w:pStyle w:val="Prrafodelista"/>
        <w:numPr>
          <w:ilvl w:val="0"/>
          <w:numId w:val="55"/>
        </w:numPr>
        <w:jc w:val="left"/>
        <w:rPr>
          <w:rStyle w:val="Hipervnculo"/>
          <w:rFonts w:cs="Arial"/>
          <w:bCs/>
          <w:iCs/>
          <w:u w:val="none"/>
        </w:rPr>
      </w:pPr>
      <w:r w:rsidRPr="00C7752A">
        <w:rPr>
          <w:rStyle w:val="Hipervnculo"/>
          <w:rFonts w:cs="Arial"/>
          <w:bCs/>
          <w:iCs/>
          <w:color w:val="auto"/>
          <w:u w:val="none"/>
        </w:rPr>
        <w:t xml:space="preserve">Incibe – Protege tu empresa – </w:t>
      </w:r>
      <w:r w:rsidR="00541294">
        <w:rPr>
          <w:rStyle w:val="Hipervnculo"/>
          <w:rFonts w:cs="Arial"/>
          <w:bCs/>
          <w:iCs/>
          <w:color w:val="auto"/>
          <w:u w:val="none"/>
        </w:rPr>
        <w:t xml:space="preserve">Herramientas – Políticas </w:t>
      </w:r>
      <w:r w:rsidR="00B17363">
        <w:t xml:space="preserve">de seguridad para la pyme – </w:t>
      </w:r>
      <w:r w:rsidR="00B17363" w:rsidRPr="00541294">
        <w:t>Copias de seguridad</w:t>
      </w:r>
      <w:r w:rsidRPr="00C7752A">
        <w:rPr>
          <w:rStyle w:val="Hipervnculo"/>
          <w:color w:val="auto"/>
          <w:u w:val="none"/>
        </w:rPr>
        <w:t xml:space="preserve"> </w:t>
      </w:r>
      <w:hyperlink r:id="rId15" w:history="1">
        <w:r w:rsidR="00094093" w:rsidRPr="00E03432">
          <w:rPr>
            <w:rStyle w:val="Hipervnculo"/>
          </w:rPr>
          <w:t>https://www.incibe.es/protege-tu-empresa/herramientas/politicas</w:t>
        </w:r>
      </w:hyperlink>
      <w:r w:rsidR="00094093">
        <w:rPr>
          <w:rStyle w:val="Hipervnculo"/>
          <w:rFonts w:cs="Arial"/>
          <w:bCs/>
          <w:iCs/>
          <w:u w:val="none"/>
        </w:rPr>
        <w:t xml:space="preserve"> </w:t>
      </w:r>
    </w:p>
    <w:p w:rsidR="000630E1" w:rsidRPr="00C7752A" w:rsidRDefault="00BF3266" w:rsidP="00C7752A">
      <w:pPr>
        <w:pStyle w:val="Prrafodelista"/>
        <w:numPr>
          <w:ilvl w:val="0"/>
          <w:numId w:val="55"/>
        </w:numPr>
        <w:ind w:right="720"/>
        <w:jc w:val="left"/>
        <w:rPr>
          <w:bCs/>
        </w:rPr>
      </w:pPr>
      <w:r w:rsidRPr="00C7752A">
        <w:rPr>
          <w:rStyle w:val="Hipervnculo"/>
          <w:rFonts w:cs="Arial"/>
          <w:bCs/>
          <w:iCs/>
          <w:color w:val="auto"/>
          <w:u w:val="none"/>
        </w:rPr>
        <w:t xml:space="preserve">Incibe – Protege tu empresa – </w:t>
      </w:r>
      <w:r w:rsidR="00541294">
        <w:rPr>
          <w:rStyle w:val="Hipervnculo"/>
          <w:rFonts w:cs="Arial"/>
          <w:bCs/>
          <w:iCs/>
          <w:color w:val="auto"/>
          <w:u w:val="none"/>
        </w:rPr>
        <w:t xml:space="preserve">Herramientas – Políticas </w:t>
      </w:r>
      <w:r w:rsidR="00B17363">
        <w:t xml:space="preserve">de seguridad para la pyme – </w:t>
      </w:r>
      <w:r w:rsidR="000630E1" w:rsidRPr="00BF3266">
        <w:t>Protección del puesto de trabajo</w:t>
      </w:r>
      <w:r>
        <w:t xml:space="preserve"> </w:t>
      </w:r>
      <w:hyperlink r:id="rId16" w:history="1">
        <w:r w:rsidR="00094093" w:rsidRPr="00E03432">
          <w:rPr>
            <w:rStyle w:val="Hipervnculo"/>
          </w:rPr>
          <w:t>https://www.incibe.es/protege-tu-empresa/herramientas/politicas</w:t>
        </w:r>
      </w:hyperlink>
      <w:r w:rsidR="00094093">
        <w:t xml:space="preserve"> </w:t>
      </w:r>
      <w:r>
        <w:t xml:space="preserve"> </w:t>
      </w:r>
    </w:p>
    <w:p w:rsidR="000630E1" w:rsidRPr="00C7752A" w:rsidRDefault="000630E1" w:rsidP="00C7752A">
      <w:pPr>
        <w:pStyle w:val="Prrafodelista"/>
        <w:numPr>
          <w:ilvl w:val="0"/>
          <w:numId w:val="55"/>
        </w:numPr>
        <w:jc w:val="left"/>
        <w:rPr>
          <w:b/>
          <w:bCs/>
          <w:iCs/>
          <w:color w:val="E73137" w:themeColor="hyperlink"/>
        </w:rPr>
      </w:pPr>
      <w:r w:rsidRPr="00C7752A">
        <w:rPr>
          <w:rStyle w:val="Hipervnculo"/>
          <w:rFonts w:cs="Arial"/>
          <w:bCs/>
          <w:iCs/>
          <w:color w:val="auto"/>
          <w:u w:val="none"/>
        </w:rPr>
        <w:t>Incibe</w:t>
      </w:r>
      <w:r w:rsidR="00BF3266" w:rsidRPr="00C7752A">
        <w:rPr>
          <w:rStyle w:val="Hipervnculo"/>
          <w:rFonts w:cs="Arial"/>
          <w:bCs/>
          <w:iCs/>
          <w:color w:val="auto"/>
          <w:u w:val="none"/>
        </w:rPr>
        <w:t xml:space="preserve"> – Protege tu empresa – Blog</w:t>
      </w:r>
      <w:r w:rsidR="00E07A74">
        <w:rPr>
          <w:rStyle w:val="Hipervnculo"/>
          <w:rFonts w:cs="Arial"/>
          <w:bCs/>
          <w:iCs/>
          <w:color w:val="auto"/>
          <w:u w:val="none"/>
        </w:rPr>
        <w:t xml:space="preserve"> </w:t>
      </w:r>
      <w:r w:rsidR="00BF3266" w:rsidRPr="00C7752A">
        <w:rPr>
          <w:rStyle w:val="Hipervnculo"/>
          <w:rFonts w:cs="Arial"/>
          <w:bCs/>
          <w:iCs/>
          <w:color w:val="auto"/>
          <w:u w:val="none"/>
        </w:rPr>
        <w:t xml:space="preserve">– </w:t>
      </w:r>
      <w:hyperlink r:id="rId17" w:history="1">
        <w:r w:rsidRPr="00C7752A">
          <w:rPr>
            <w:rStyle w:val="Hipervnculo"/>
            <w:bCs/>
            <w:iCs/>
            <w:color w:val="auto"/>
            <w:u w:val="none"/>
          </w:rPr>
          <w:t>¿Borrar los datos de manera definitiva? ¡Aprende cómo!</w:t>
        </w:r>
      </w:hyperlink>
      <w:r w:rsidRPr="00C7752A">
        <w:rPr>
          <w:iCs/>
          <w:color w:val="E73137" w:themeColor="hyperlink"/>
        </w:rPr>
        <w:t xml:space="preserve"> </w:t>
      </w:r>
      <w:r>
        <w:t xml:space="preserve">· </w:t>
      </w:r>
      <w:hyperlink r:id="rId18" w:history="1">
        <w:r w:rsidR="00094093" w:rsidRPr="00E03432">
          <w:rPr>
            <w:rStyle w:val="Hipervnculo"/>
          </w:rPr>
          <w:t>https://www.incibe.es/protege-tu-empresa/blog/borrar-informacion-dispositivo-ciberseguridad</w:t>
        </w:r>
      </w:hyperlink>
      <w:r w:rsidR="00094093">
        <w:rPr>
          <w:b/>
          <w:bCs/>
          <w:iCs/>
          <w:color w:val="E73137" w:themeColor="hyperlink"/>
        </w:rPr>
        <w:t xml:space="preserve"> </w:t>
      </w:r>
    </w:p>
    <w:p w:rsidR="000630E1" w:rsidRPr="00C7752A" w:rsidRDefault="00BF3266" w:rsidP="00C7752A">
      <w:pPr>
        <w:pStyle w:val="Prrafodelista"/>
        <w:numPr>
          <w:ilvl w:val="0"/>
          <w:numId w:val="55"/>
        </w:numPr>
        <w:jc w:val="left"/>
        <w:rPr>
          <w:rStyle w:val="Hipervnculo"/>
          <w:b/>
          <w:bCs/>
          <w:iCs/>
          <w:color w:val="auto"/>
          <w:u w:val="none"/>
        </w:rPr>
      </w:pPr>
      <w:r w:rsidRPr="00C7752A">
        <w:rPr>
          <w:rStyle w:val="Hipervnculo"/>
          <w:rFonts w:cs="Arial"/>
          <w:bCs/>
          <w:iCs/>
          <w:color w:val="auto"/>
          <w:u w:val="none"/>
        </w:rPr>
        <w:t xml:space="preserve">Incibe – Protege tu empresa – Blog – </w:t>
      </w:r>
      <w:hyperlink r:id="rId19" w:history="1">
        <w:r w:rsidR="000630E1" w:rsidRPr="00C7752A">
          <w:rPr>
            <w:rStyle w:val="Hipervnculo"/>
            <w:bCs/>
            <w:iCs/>
            <w:color w:val="auto"/>
            <w:u w:val="none"/>
          </w:rPr>
          <w:t>Borrado y destrucción segura de soportes de información</w:t>
        </w:r>
      </w:hyperlink>
      <w:r w:rsidR="000630E1" w:rsidRPr="00C7752A">
        <w:rPr>
          <w:iCs/>
        </w:rPr>
        <w:t xml:space="preserve"> </w:t>
      </w:r>
      <w:r w:rsidR="000630E1">
        <w:t xml:space="preserve">· </w:t>
      </w:r>
      <w:hyperlink r:id="rId20" w:history="1">
        <w:r w:rsidR="00094093" w:rsidRPr="00E03432">
          <w:rPr>
            <w:rStyle w:val="Hipervnculo"/>
          </w:rPr>
          <w:t>https://www.incibe.es/protege-tu-empresa/blog/borrado-destruccion-segura-soportes</w:t>
        </w:r>
      </w:hyperlink>
      <w:r w:rsidR="00094093">
        <w:rPr>
          <w:rStyle w:val="Hipervnculo"/>
          <w:b/>
          <w:bCs/>
          <w:iCs/>
          <w:color w:val="auto"/>
          <w:u w:val="none"/>
        </w:rPr>
        <w:t xml:space="preserve"> </w:t>
      </w:r>
    </w:p>
    <w:p w:rsidR="00117B37" w:rsidRDefault="00117B37">
      <w:pPr>
        <w:jc w:val="left"/>
        <w:rPr>
          <w:rFonts w:cs="Arial"/>
          <w:bCs/>
          <w:iCs/>
          <w:color w:val="E73137" w:themeColor="hyperlink"/>
        </w:rPr>
      </w:pPr>
    </w:p>
    <w:p w:rsidR="000F1303" w:rsidRPr="000F1303" w:rsidRDefault="000F1303">
      <w:pPr>
        <w:jc w:val="left"/>
        <w:rPr>
          <w:rFonts w:cs="Arial"/>
          <w:bCs/>
          <w:iCs/>
          <w:color w:val="E73137" w:themeColor="hyperlink"/>
        </w:rPr>
        <w:sectPr w:rsidR="000F1303" w:rsidRPr="000F1303" w:rsidSect="00314618">
          <w:headerReference w:type="first" r:id="rId21"/>
          <w:footerReference w:type="first" r:id="rId22"/>
          <w:pgSz w:w="11906" w:h="16838" w:code="9"/>
          <w:pgMar w:top="1985" w:right="1418" w:bottom="1134" w:left="1701" w:header="709" w:footer="454" w:gutter="0"/>
          <w:cols w:space="708"/>
          <w:docGrid w:linePitch="360"/>
        </w:sectPr>
      </w:pPr>
    </w:p>
    <w:p w:rsidR="00AE7811" w:rsidRDefault="006A26F0" w:rsidP="00156143">
      <w:pPr>
        <w:jc w:val="center"/>
        <w:rPr>
          <w:noProof/>
        </w:rPr>
      </w:pPr>
      <w:r>
        <w:rPr>
          <w:noProof/>
        </w:rPr>
        <w:lastRenderedPageBreak/>
        <w:drawing>
          <wp:inline distT="0" distB="0" distL="0" distR="0" wp14:anchorId="0C0967CA" wp14:editId="5FDF6940">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sectPr w:rsidR="00AE7811" w:rsidSect="003B2C40">
      <w:headerReference w:type="default" r:id="rId24"/>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ADD" w:rsidRDefault="00693ADD">
      <w:r>
        <w:separator/>
      </w:r>
    </w:p>
  </w:endnote>
  <w:endnote w:type="continuationSeparator" w:id="0">
    <w:p w:rsidR="00693ADD" w:rsidRDefault="0069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ource Sans Pro">
    <w:altName w:val="Source Sans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0E1" w:rsidRDefault="000630E1" w:rsidP="00D11149">
    <w:pPr>
      <w:pStyle w:val="Piedepgina"/>
    </w:pPr>
    <w:r>
      <w:t xml:space="preserve">Políticas de seguridad </w:t>
    </w:r>
    <w:r w:rsidR="00727F5A">
      <w:t>para la</w:t>
    </w:r>
    <w:r>
      <w:t xml:space="preserve"> </w:t>
    </w:r>
    <w:r w:rsidR="00727F5A">
      <w:t>pyme: b</w:t>
    </w:r>
    <w:r>
      <w:t>orrado seguro y gestión de soportes</w:t>
    </w:r>
    <w:r>
      <w:tab/>
    </w:r>
    <w:r w:rsidRPr="00D276AD">
      <w:t xml:space="preserve">Página </w:t>
    </w:r>
    <w:r>
      <w:fldChar w:fldCharType="begin"/>
    </w:r>
    <w:r>
      <w:instrText xml:space="preserve"> PAGE </w:instrText>
    </w:r>
    <w:r>
      <w:fldChar w:fldCharType="separate"/>
    </w:r>
    <w:r w:rsidR="0014008B">
      <w:rPr>
        <w:noProof/>
      </w:rPr>
      <w:t>4</w:t>
    </w:r>
    <w:r>
      <w:rPr>
        <w:noProof/>
      </w:rPr>
      <w:fldChar w:fldCharType="end"/>
    </w:r>
    <w:r w:rsidRPr="00D276AD">
      <w:t xml:space="preserve"> de </w:t>
    </w:r>
    <w:r w:rsidR="006647B6">
      <w:rPr>
        <w:noProof/>
      </w:rPr>
      <w:fldChar w:fldCharType="begin"/>
    </w:r>
    <w:r w:rsidR="006647B6">
      <w:rPr>
        <w:noProof/>
      </w:rPr>
      <w:instrText xml:space="preserve"> NUMPAGES </w:instrText>
    </w:r>
    <w:r w:rsidR="006647B6">
      <w:rPr>
        <w:noProof/>
      </w:rPr>
      <w:fldChar w:fldCharType="separate"/>
    </w:r>
    <w:r w:rsidR="0014008B">
      <w:rPr>
        <w:noProof/>
      </w:rPr>
      <w:t>9</w:t>
    </w:r>
    <w:r w:rsidR="006647B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0E1" w:rsidRDefault="000630E1" w:rsidP="00267808">
    <w:r>
      <w:rPr>
        <w:noProof/>
      </w:rPr>
      <w:drawing>
        <wp:anchor distT="0" distB="0" distL="114300" distR="114300" simplePos="0" relativeHeight="251698688" behindDoc="0" locked="0" layoutInCell="1" allowOverlap="1" wp14:anchorId="24D033C0" wp14:editId="625E19C6">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F4" w:rsidRPr="00D276AD" w:rsidRDefault="00AF2D1D" w:rsidP="007F65BB">
    <w:pPr>
      <w:pStyle w:val="Piedepgina"/>
    </w:pPr>
    <w:r>
      <w:fldChar w:fldCharType="begin"/>
    </w:r>
    <w:r>
      <w:instrText xml:space="preserve"> TITLE  \* Caps  \* MERGEFORMAT </w:instrText>
    </w:r>
    <w:r>
      <w:fldChar w:fldCharType="end"/>
    </w:r>
    <w:r w:rsidR="00FE01F4" w:rsidRPr="00D276AD">
      <w:tab/>
    </w:r>
    <w:r w:rsidR="00FE01F4">
      <w:tab/>
    </w:r>
    <w:r w:rsidR="00FE01F4" w:rsidRPr="00D276AD">
      <w:t xml:space="preserve">Página </w:t>
    </w:r>
    <w:r w:rsidR="00FE01F4">
      <w:fldChar w:fldCharType="begin"/>
    </w:r>
    <w:r w:rsidR="00FE01F4">
      <w:instrText xml:space="preserve"> PAGE </w:instrText>
    </w:r>
    <w:r w:rsidR="00FE01F4">
      <w:fldChar w:fldCharType="separate"/>
    </w:r>
    <w:r w:rsidR="00FE01F4">
      <w:rPr>
        <w:noProof/>
      </w:rPr>
      <w:t>2</w:t>
    </w:r>
    <w:r w:rsidR="00FE01F4">
      <w:rPr>
        <w:noProof/>
      </w:rPr>
      <w:fldChar w:fldCharType="end"/>
    </w:r>
    <w:r w:rsidR="00FE01F4" w:rsidRPr="00D276AD">
      <w:t xml:space="preserve"> de </w:t>
    </w:r>
    <w:r w:rsidR="006647B6">
      <w:rPr>
        <w:noProof/>
      </w:rPr>
      <w:fldChar w:fldCharType="begin"/>
    </w:r>
    <w:r w:rsidR="006647B6">
      <w:rPr>
        <w:noProof/>
      </w:rPr>
      <w:instrText xml:space="preserve"> NUMPAGES </w:instrText>
    </w:r>
    <w:r w:rsidR="006647B6">
      <w:rPr>
        <w:noProof/>
      </w:rPr>
      <w:fldChar w:fldCharType="separate"/>
    </w:r>
    <w:r w:rsidR="0029226E">
      <w:rPr>
        <w:noProof/>
      </w:rPr>
      <w:t>9</w:t>
    </w:r>
    <w:r w:rsidR="006647B6">
      <w:rPr>
        <w:noProof/>
      </w:rPr>
      <w:fldChar w:fldCharType="end"/>
    </w:r>
  </w:p>
  <w:p w:rsidR="00FE01F4" w:rsidRPr="007F65BB" w:rsidRDefault="00FE01F4"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ADD" w:rsidRDefault="00693ADD" w:rsidP="00AF1253">
      <w:pPr>
        <w:spacing w:after="0"/>
      </w:pPr>
      <w:r>
        <w:separator/>
      </w:r>
    </w:p>
  </w:footnote>
  <w:footnote w:type="continuationSeparator" w:id="0">
    <w:p w:rsidR="00693ADD" w:rsidRDefault="00693ADD" w:rsidP="00AF1253">
      <w:pPr>
        <w:spacing w:after="0"/>
      </w:pPr>
      <w:r>
        <w:continuationSeparator/>
      </w:r>
    </w:p>
  </w:footnote>
  <w:footnote w:type="continuationNotice" w:id="1">
    <w:p w:rsidR="00693ADD" w:rsidRDefault="00693ADD"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0E1" w:rsidRPr="00314618" w:rsidRDefault="000630E1" w:rsidP="00314618">
    <w:pPr>
      <w:tabs>
        <w:tab w:val="right" w:pos="8789"/>
      </w:tabs>
    </w:pPr>
    <w:r w:rsidRPr="00220803">
      <w:rPr>
        <w:noProof/>
      </w:rPr>
      <w:drawing>
        <wp:anchor distT="0" distB="0" distL="114300" distR="114300" simplePos="0" relativeHeight="251700736" behindDoc="0" locked="0" layoutInCell="1" allowOverlap="1" wp14:anchorId="6DE8BCA5" wp14:editId="149A06F9">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740A29D6" wp14:editId="44F3FD77">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0E1" w:rsidRDefault="000630E1" w:rsidP="00846F55">
    <w:pPr>
      <w:jc w:val="center"/>
    </w:pPr>
    <w:r w:rsidRPr="00220803">
      <w:rPr>
        <w:noProof/>
      </w:rPr>
      <w:drawing>
        <wp:anchor distT="0" distB="0" distL="114300" distR="114300" simplePos="0" relativeHeight="251699712" behindDoc="0" locked="0" layoutInCell="1" allowOverlap="1" wp14:anchorId="5F4F887C" wp14:editId="0933D71D">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F4" w:rsidRDefault="00FE01F4" w:rsidP="00846F55">
    <w:pPr>
      <w:jc w:val="center"/>
    </w:pPr>
    <w:r>
      <w:rPr>
        <w:noProof/>
      </w:rPr>
      <w:drawing>
        <wp:anchor distT="0" distB="0" distL="114300" distR="114300" simplePos="0" relativeHeight="251684352" behindDoc="0" locked="0" layoutInCell="1" allowOverlap="1" wp14:anchorId="5AC2629C" wp14:editId="6E4DD1F6">
          <wp:simplePos x="0" y="0"/>
          <wp:positionH relativeFrom="page">
            <wp:posOffset>1080135</wp:posOffset>
          </wp:positionH>
          <wp:positionV relativeFrom="page">
            <wp:posOffset>450215</wp:posOffset>
          </wp:positionV>
          <wp:extent cx="1702800" cy="482400"/>
          <wp:effectExtent l="0" t="0" r="0" b="0"/>
          <wp:wrapNone/>
          <wp:docPr id="38"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A7CBBA9" wp14:editId="5E380E72">
          <wp:simplePos x="0" y="0"/>
          <wp:positionH relativeFrom="page">
            <wp:posOffset>4625975</wp:posOffset>
          </wp:positionH>
          <wp:positionV relativeFrom="page">
            <wp:posOffset>450215</wp:posOffset>
          </wp:positionV>
          <wp:extent cx="2030400" cy="478800"/>
          <wp:effectExtent l="0" t="0" r="8255" b="0"/>
          <wp:wrapNone/>
          <wp:docPr id="39"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F4" w:rsidRDefault="00FE01F4">
    <w:r w:rsidRPr="00220803">
      <w:rPr>
        <w:noProof/>
      </w:rPr>
      <w:drawing>
        <wp:anchor distT="0" distB="0" distL="114300" distR="114300" simplePos="0" relativeHeight="251696640" behindDoc="0" locked="0" layoutInCell="1" allowOverlap="1" wp14:anchorId="278F1344" wp14:editId="36E2E81A">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8C0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E1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2A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08D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CA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62E5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CA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93FC6"/>
    <w:multiLevelType w:val="hybridMultilevel"/>
    <w:tmpl w:val="933C09F2"/>
    <w:lvl w:ilvl="0" w:tplc="D362E1A4">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2E6556A"/>
    <w:multiLevelType w:val="hybridMultilevel"/>
    <w:tmpl w:val="0B2C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4"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D8214A"/>
    <w:multiLevelType w:val="hybridMultilevel"/>
    <w:tmpl w:val="B9C424B4"/>
    <w:lvl w:ilvl="0" w:tplc="B372CA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2" w15:restartNumberingAfterBreak="0">
    <w:nsid w:val="3A046100"/>
    <w:multiLevelType w:val="hybridMultilevel"/>
    <w:tmpl w:val="117C0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5" w15:restartNumberingAfterBreak="0">
    <w:nsid w:val="412724C4"/>
    <w:multiLevelType w:val="hybridMultilevel"/>
    <w:tmpl w:val="7D9678E4"/>
    <w:lvl w:ilvl="0" w:tplc="B372CAFE">
      <w:start w:val="1"/>
      <w:numFmt w:val="decimal"/>
      <w:lvlText w:val="[%1]."/>
      <w:lvlJc w:val="left"/>
      <w:pPr>
        <w:ind w:left="927" w:hanging="360"/>
      </w:pPr>
      <w:rPr>
        <w:rFonts w:hint="default"/>
        <w:b w:val="0"/>
        <w:color w:val="auto"/>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62537A9"/>
    <w:multiLevelType w:val="hybridMultilevel"/>
    <w:tmpl w:val="34E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B178B0"/>
    <w:multiLevelType w:val="hybridMultilevel"/>
    <w:tmpl w:val="B44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17D76AD"/>
    <w:multiLevelType w:val="hybridMultilevel"/>
    <w:tmpl w:val="16BE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51B5"/>
    <w:multiLevelType w:val="hybridMultilevel"/>
    <w:tmpl w:val="8760E4D4"/>
    <w:lvl w:ilvl="0" w:tplc="B372CAFE">
      <w:start w:val="1"/>
      <w:numFmt w:val="decimal"/>
      <w:lvlText w:val="[%1]."/>
      <w:lvlJc w:val="left"/>
      <w:pPr>
        <w:ind w:left="801" w:hanging="360"/>
      </w:pPr>
      <w:rPr>
        <w:rFonts w:hint="default"/>
      </w:rPr>
    </w:lvl>
    <w:lvl w:ilvl="1" w:tplc="0C0A0019" w:tentative="1">
      <w:start w:val="1"/>
      <w:numFmt w:val="lowerLetter"/>
      <w:lvlText w:val="%2."/>
      <w:lvlJc w:val="left"/>
      <w:pPr>
        <w:ind w:left="1521" w:hanging="360"/>
      </w:pPr>
    </w:lvl>
    <w:lvl w:ilvl="2" w:tplc="0C0A001B" w:tentative="1">
      <w:start w:val="1"/>
      <w:numFmt w:val="lowerRoman"/>
      <w:lvlText w:val="%3."/>
      <w:lvlJc w:val="right"/>
      <w:pPr>
        <w:ind w:left="2241" w:hanging="180"/>
      </w:pPr>
    </w:lvl>
    <w:lvl w:ilvl="3" w:tplc="0C0A000F" w:tentative="1">
      <w:start w:val="1"/>
      <w:numFmt w:val="decimal"/>
      <w:lvlText w:val="%4."/>
      <w:lvlJc w:val="left"/>
      <w:pPr>
        <w:ind w:left="2961" w:hanging="360"/>
      </w:pPr>
    </w:lvl>
    <w:lvl w:ilvl="4" w:tplc="0C0A0019" w:tentative="1">
      <w:start w:val="1"/>
      <w:numFmt w:val="lowerLetter"/>
      <w:lvlText w:val="%5."/>
      <w:lvlJc w:val="left"/>
      <w:pPr>
        <w:ind w:left="3681" w:hanging="360"/>
      </w:pPr>
    </w:lvl>
    <w:lvl w:ilvl="5" w:tplc="0C0A001B" w:tentative="1">
      <w:start w:val="1"/>
      <w:numFmt w:val="lowerRoman"/>
      <w:lvlText w:val="%6."/>
      <w:lvlJc w:val="right"/>
      <w:pPr>
        <w:ind w:left="4401" w:hanging="180"/>
      </w:pPr>
    </w:lvl>
    <w:lvl w:ilvl="6" w:tplc="0C0A000F" w:tentative="1">
      <w:start w:val="1"/>
      <w:numFmt w:val="decimal"/>
      <w:lvlText w:val="%7."/>
      <w:lvlJc w:val="left"/>
      <w:pPr>
        <w:ind w:left="5121" w:hanging="360"/>
      </w:pPr>
    </w:lvl>
    <w:lvl w:ilvl="7" w:tplc="0C0A0019" w:tentative="1">
      <w:start w:val="1"/>
      <w:numFmt w:val="lowerLetter"/>
      <w:lvlText w:val="%8."/>
      <w:lvlJc w:val="left"/>
      <w:pPr>
        <w:ind w:left="5841" w:hanging="360"/>
      </w:pPr>
    </w:lvl>
    <w:lvl w:ilvl="8" w:tplc="0C0A001B" w:tentative="1">
      <w:start w:val="1"/>
      <w:numFmt w:val="lowerRoman"/>
      <w:lvlText w:val="%9."/>
      <w:lvlJc w:val="right"/>
      <w:pPr>
        <w:ind w:left="6561" w:hanging="180"/>
      </w:pPr>
    </w:lvl>
  </w:abstractNum>
  <w:abstractNum w:abstractNumId="33"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34" w15:restartNumberingAfterBreak="0">
    <w:nsid w:val="632714E4"/>
    <w:multiLevelType w:val="hybridMultilevel"/>
    <w:tmpl w:val="4EE2A98C"/>
    <w:lvl w:ilvl="0" w:tplc="FEB63FC0">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6"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582FCF"/>
    <w:multiLevelType w:val="hybridMultilevel"/>
    <w:tmpl w:val="B9B03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19"/>
  </w:num>
  <w:num w:numId="4">
    <w:abstractNumId w:val="31"/>
  </w:num>
  <w:num w:numId="5">
    <w:abstractNumId w:val="23"/>
  </w:num>
  <w:num w:numId="6">
    <w:abstractNumId w:val="20"/>
  </w:num>
  <w:num w:numId="7">
    <w:abstractNumId w:val="12"/>
  </w:num>
  <w:num w:numId="8">
    <w:abstractNumId w:val="35"/>
  </w:num>
  <w:num w:numId="9">
    <w:abstractNumId w:val="35"/>
  </w:num>
  <w:num w:numId="10">
    <w:abstractNumId w:val="35"/>
  </w:num>
  <w:num w:numId="11">
    <w:abstractNumId w:val="35"/>
  </w:num>
  <w:num w:numId="12">
    <w:abstractNumId w:val="31"/>
  </w:num>
  <w:num w:numId="13">
    <w:abstractNumId w:val="19"/>
  </w:num>
  <w:num w:numId="14">
    <w:abstractNumId w:val="19"/>
  </w:num>
  <w:num w:numId="15">
    <w:abstractNumId w:val="29"/>
  </w:num>
  <w:num w:numId="16">
    <w:abstractNumId w:val="12"/>
  </w:num>
  <w:num w:numId="17">
    <w:abstractNumId w:val="21"/>
  </w:num>
  <w:num w:numId="18">
    <w:abstractNumId w:val="24"/>
  </w:num>
  <w:num w:numId="19">
    <w:abstractNumId w:val="26"/>
  </w:num>
  <w:num w:numId="20">
    <w:abstractNumId w:val="13"/>
  </w:num>
  <w:num w:numId="21">
    <w:abstractNumId w:val="16"/>
  </w:num>
  <w:num w:numId="22">
    <w:abstractNumId w:val="15"/>
  </w:num>
  <w:num w:numId="23">
    <w:abstractNumId w:val="33"/>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36"/>
  </w:num>
  <w:num w:numId="35">
    <w:abstractNumId w:val="18"/>
  </w:num>
  <w:num w:numId="36">
    <w:abstractNumId w:val="37"/>
  </w:num>
  <w:num w:numId="37">
    <w:abstractNumId w:val="28"/>
  </w:num>
  <w:num w:numId="38">
    <w:abstractNumId w:val="33"/>
    <w:lvlOverride w:ilvl="0">
      <w:startOverride w:val="1"/>
    </w:lvlOverride>
    <w:lvlOverride w:ilvl="1">
      <w:startOverride w:val="2"/>
    </w:lvlOverride>
  </w:num>
  <w:num w:numId="39">
    <w:abstractNumId w:val="25"/>
  </w:num>
  <w:num w:numId="40">
    <w:abstractNumId w:val="14"/>
  </w:num>
  <w:num w:numId="41">
    <w:abstractNumId w:val="11"/>
  </w:num>
  <w:num w:numId="42">
    <w:abstractNumId w:val="30"/>
  </w:num>
  <w:num w:numId="43">
    <w:abstractNumId w:val="27"/>
  </w:num>
  <w:num w:numId="44">
    <w:abstractNumId w:val="22"/>
  </w:num>
  <w:num w:numId="45">
    <w:abstractNumId w:val="32"/>
  </w:num>
  <w:num w:numId="46">
    <w:abstractNumId w:val="17"/>
  </w:num>
  <w:num w:numId="47">
    <w:abstractNumId w:val="33"/>
  </w:num>
  <w:num w:numId="48">
    <w:abstractNumId w:val="10"/>
  </w:num>
  <w:num w:numId="49">
    <w:abstractNumId w:val="19"/>
  </w:num>
  <w:num w:numId="50">
    <w:abstractNumId w:val="19"/>
  </w:num>
  <w:num w:numId="51">
    <w:abstractNumId w:val="31"/>
  </w:num>
  <w:num w:numId="52">
    <w:abstractNumId w:val="31"/>
  </w:num>
  <w:num w:numId="53">
    <w:abstractNumId w:val="31"/>
  </w:num>
  <w:num w:numId="54">
    <w:abstractNumId w:val="31"/>
  </w:num>
  <w:num w:numId="55">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0E1"/>
    <w:rsid w:val="00000FF7"/>
    <w:rsid w:val="0000637C"/>
    <w:rsid w:val="000109A4"/>
    <w:rsid w:val="00013AAD"/>
    <w:rsid w:val="00015296"/>
    <w:rsid w:val="00016256"/>
    <w:rsid w:val="00016ADF"/>
    <w:rsid w:val="0001769A"/>
    <w:rsid w:val="0002177D"/>
    <w:rsid w:val="00021D94"/>
    <w:rsid w:val="00022B30"/>
    <w:rsid w:val="00023B55"/>
    <w:rsid w:val="00024330"/>
    <w:rsid w:val="00026C0E"/>
    <w:rsid w:val="00036C3E"/>
    <w:rsid w:val="00042024"/>
    <w:rsid w:val="00047498"/>
    <w:rsid w:val="000476A8"/>
    <w:rsid w:val="00054F46"/>
    <w:rsid w:val="0005602F"/>
    <w:rsid w:val="000630E1"/>
    <w:rsid w:val="0006505E"/>
    <w:rsid w:val="000651CB"/>
    <w:rsid w:val="000743C6"/>
    <w:rsid w:val="000746AA"/>
    <w:rsid w:val="00076211"/>
    <w:rsid w:val="000762B9"/>
    <w:rsid w:val="000765A5"/>
    <w:rsid w:val="00094093"/>
    <w:rsid w:val="000A45FF"/>
    <w:rsid w:val="000A5DF6"/>
    <w:rsid w:val="000A73B7"/>
    <w:rsid w:val="000B5440"/>
    <w:rsid w:val="000C1B35"/>
    <w:rsid w:val="000C1C1F"/>
    <w:rsid w:val="000C5361"/>
    <w:rsid w:val="000C65CA"/>
    <w:rsid w:val="000C7C7A"/>
    <w:rsid w:val="000D204A"/>
    <w:rsid w:val="000D3393"/>
    <w:rsid w:val="000D3CE0"/>
    <w:rsid w:val="000D5092"/>
    <w:rsid w:val="000D5BAE"/>
    <w:rsid w:val="000D6E17"/>
    <w:rsid w:val="000F1303"/>
    <w:rsid w:val="000F17BC"/>
    <w:rsid w:val="00107C3B"/>
    <w:rsid w:val="00117B37"/>
    <w:rsid w:val="00130442"/>
    <w:rsid w:val="0014008B"/>
    <w:rsid w:val="001423CB"/>
    <w:rsid w:val="0014775D"/>
    <w:rsid w:val="00156143"/>
    <w:rsid w:val="0015681B"/>
    <w:rsid w:val="00160BA6"/>
    <w:rsid w:val="001626BE"/>
    <w:rsid w:val="00172085"/>
    <w:rsid w:val="00174B03"/>
    <w:rsid w:val="00183534"/>
    <w:rsid w:val="001857B8"/>
    <w:rsid w:val="00194943"/>
    <w:rsid w:val="001950B2"/>
    <w:rsid w:val="0019686C"/>
    <w:rsid w:val="001977B4"/>
    <w:rsid w:val="001A5CE5"/>
    <w:rsid w:val="001A6F61"/>
    <w:rsid w:val="001B13A5"/>
    <w:rsid w:val="001B2598"/>
    <w:rsid w:val="001B5C8E"/>
    <w:rsid w:val="001B5E9A"/>
    <w:rsid w:val="001B6ECB"/>
    <w:rsid w:val="001C21BF"/>
    <w:rsid w:val="001C45A8"/>
    <w:rsid w:val="001D3845"/>
    <w:rsid w:val="001D64C2"/>
    <w:rsid w:val="001E1F2E"/>
    <w:rsid w:val="001F1012"/>
    <w:rsid w:val="001F6A4A"/>
    <w:rsid w:val="00205501"/>
    <w:rsid w:val="002100A0"/>
    <w:rsid w:val="0021306B"/>
    <w:rsid w:val="00213A2E"/>
    <w:rsid w:val="00217A92"/>
    <w:rsid w:val="00232E8F"/>
    <w:rsid w:val="00240F87"/>
    <w:rsid w:val="00245A2D"/>
    <w:rsid w:val="00246159"/>
    <w:rsid w:val="00246FA7"/>
    <w:rsid w:val="00247F1B"/>
    <w:rsid w:val="00254FC9"/>
    <w:rsid w:val="00257670"/>
    <w:rsid w:val="00267808"/>
    <w:rsid w:val="00270D84"/>
    <w:rsid w:val="002724AC"/>
    <w:rsid w:val="0027344B"/>
    <w:rsid w:val="002848E7"/>
    <w:rsid w:val="002915AA"/>
    <w:rsid w:val="0029226E"/>
    <w:rsid w:val="00292CF4"/>
    <w:rsid w:val="00297D41"/>
    <w:rsid w:val="002A0164"/>
    <w:rsid w:val="002A0574"/>
    <w:rsid w:val="002A0F13"/>
    <w:rsid w:val="002B3092"/>
    <w:rsid w:val="002B42C2"/>
    <w:rsid w:val="002B6190"/>
    <w:rsid w:val="002C028C"/>
    <w:rsid w:val="002C2062"/>
    <w:rsid w:val="002C3ABC"/>
    <w:rsid w:val="002D3208"/>
    <w:rsid w:val="002D40B8"/>
    <w:rsid w:val="002D60A9"/>
    <w:rsid w:val="002F19DB"/>
    <w:rsid w:val="002F502B"/>
    <w:rsid w:val="002F5AD7"/>
    <w:rsid w:val="0030315C"/>
    <w:rsid w:val="00305988"/>
    <w:rsid w:val="00314618"/>
    <w:rsid w:val="00325034"/>
    <w:rsid w:val="00325C05"/>
    <w:rsid w:val="00327AA3"/>
    <w:rsid w:val="00330905"/>
    <w:rsid w:val="00331606"/>
    <w:rsid w:val="0033383A"/>
    <w:rsid w:val="00342932"/>
    <w:rsid w:val="00347CB4"/>
    <w:rsid w:val="00347F29"/>
    <w:rsid w:val="00352F88"/>
    <w:rsid w:val="00363A4D"/>
    <w:rsid w:val="003643DD"/>
    <w:rsid w:val="0036456C"/>
    <w:rsid w:val="00372983"/>
    <w:rsid w:val="00374F57"/>
    <w:rsid w:val="003809E9"/>
    <w:rsid w:val="003854DA"/>
    <w:rsid w:val="003913CE"/>
    <w:rsid w:val="00392C16"/>
    <w:rsid w:val="0039430D"/>
    <w:rsid w:val="003946C6"/>
    <w:rsid w:val="00395BA2"/>
    <w:rsid w:val="003A0D85"/>
    <w:rsid w:val="003B2C40"/>
    <w:rsid w:val="003B5648"/>
    <w:rsid w:val="003B7974"/>
    <w:rsid w:val="003C03F6"/>
    <w:rsid w:val="003C4D84"/>
    <w:rsid w:val="003D0E12"/>
    <w:rsid w:val="003D1D6C"/>
    <w:rsid w:val="003D3A76"/>
    <w:rsid w:val="003D79DF"/>
    <w:rsid w:val="003E14B3"/>
    <w:rsid w:val="003E2A3F"/>
    <w:rsid w:val="003E7C5A"/>
    <w:rsid w:val="00401C97"/>
    <w:rsid w:val="004037E2"/>
    <w:rsid w:val="00412B67"/>
    <w:rsid w:val="00413669"/>
    <w:rsid w:val="00413808"/>
    <w:rsid w:val="00417279"/>
    <w:rsid w:val="00420E07"/>
    <w:rsid w:val="00422C75"/>
    <w:rsid w:val="004253C6"/>
    <w:rsid w:val="00426C31"/>
    <w:rsid w:val="00431931"/>
    <w:rsid w:val="004364F2"/>
    <w:rsid w:val="00437369"/>
    <w:rsid w:val="0044466B"/>
    <w:rsid w:val="00444B93"/>
    <w:rsid w:val="00444EC6"/>
    <w:rsid w:val="00451448"/>
    <w:rsid w:val="00456D32"/>
    <w:rsid w:val="00463BBF"/>
    <w:rsid w:val="004651C8"/>
    <w:rsid w:val="00470B73"/>
    <w:rsid w:val="00477BE9"/>
    <w:rsid w:val="00484EFB"/>
    <w:rsid w:val="00492DFE"/>
    <w:rsid w:val="00493907"/>
    <w:rsid w:val="00493E92"/>
    <w:rsid w:val="004952CB"/>
    <w:rsid w:val="004A3E53"/>
    <w:rsid w:val="004B327E"/>
    <w:rsid w:val="004B4A28"/>
    <w:rsid w:val="004B5BF8"/>
    <w:rsid w:val="004C0F2F"/>
    <w:rsid w:val="004C159A"/>
    <w:rsid w:val="004C2273"/>
    <w:rsid w:val="004C4817"/>
    <w:rsid w:val="004D1550"/>
    <w:rsid w:val="004D69B7"/>
    <w:rsid w:val="004E0D7E"/>
    <w:rsid w:val="004E0FC1"/>
    <w:rsid w:val="004E6D77"/>
    <w:rsid w:val="004F3AAF"/>
    <w:rsid w:val="004F44F7"/>
    <w:rsid w:val="004F5BCA"/>
    <w:rsid w:val="004F7E7A"/>
    <w:rsid w:val="0050158D"/>
    <w:rsid w:val="00505376"/>
    <w:rsid w:val="00506DCD"/>
    <w:rsid w:val="00514D7C"/>
    <w:rsid w:val="0052168D"/>
    <w:rsid w:val="00523B1E"/>
    <w:rsid w:val="005246DB"/>
    <w:rsid w:val="00526FA9"/>
    <w:rsid w:val="0053513E"/>
    <w:rsid w:val="0053668D"/>
    <w:rsid w:val="00536752"/>
    <w:rsid w:val="00541294"/>
    <w:rsid w:val="005434AD"/>
    <w:rsid w:val="00551D3C"/>
    <w:rsid w:val="005532B8"/>
    <w:rsid w:val="00562F32"/>
    <w:rsid w:val="00570CDD"/>
    <w:rsid w:val="005733C3"/>
    <w:rsid w:val="0058051E"/>
    <w:rsid w:val="00581A12"/>
    <w:rsid w:val="005840DB"/>
    <w:rsid w:val="005865ED"/>
    <w:rsid w:val="00590F8E"/>
    <w:rsid w:val="00592A64"/>
    <w:rsid w:val="00596765"/>
    <w:rsid w:val="005B1F0B"/>
    <w:rsid w:val="005B48C9"/>
    <w:rsid w:val="005C4596"/>
    <w:rsid w:val="005C69DE"/>
    <w:rsid w:val="005C7542"/>
    <w:rsid w:val="005D1B9F"/>
    <w:rsid w:val="005D1CD6"/>
    <w:rsid w:val="005D3047"/>
    <w:rsid w:val="005D3F6D"/>
    <w:rsid w:val="005D513E"/>
    <w:rsid w:val="005E1188"/>
    <w:rsid w:val="005E2C65"/>
    <w:rsid w:val="005E2E36"/>
    <w:rsid w:val="005F26A5"/>
    <w:rsid w:val="00601E14"/>
    <w:rsid w:val="00604B49"/>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6120B"/>
    <w:rsid w:val="00662706"/>
    <w:rsid w:val="00663555"/>
    <w:rsid w:val="006647B6"/>
    <w:rsid w:val="00666964"/>
    <w:rsid w:val="0067119D"/>
    <w:rsid w:val="00673A43"/>
    <w:rsid w:val="00674EDB"/>
    <w:rsid w:val="0068140E"/>
    <w:rsid w:val="00682053"/>
    <w:rsid w:val="006875EB"/>
    <w:rsid w:val="00693ADD"/>
    <w:rsid w:val="00694753"/>
    <w:rsid w:val="00697EFB"/>
    <w:rsid w:val="006A26F0"/>
    <w:rsid w:val="006A2EF9"/>
    <w:rsid w:val="006A455C"/>
    <w:rsid w:val="006A6703"/>
    <w:rsid w:val="006B1775"/>
    <w:rsid w:val="006C6F9A"/>
    <w:rsid w:val="006D6D27"/>
    <w:rsid w:val="006E21ED"/>
    <w:rsid w:val="006E5B51"/>
    <w:rsid w:val="006E61B8"/>
    <w:rsid w:val="006E66EE"/>
    <w:rsid w:val="006F27BD"/>
    <w:rsid w:val="006F4D57"/>
    <w:rsid w:val="007055C0"/>
    <w:rsid w:val="007060DE"/>
    <w:rsid w:val="00713EA0"/>
    <w:rsid w:val="00722176"/>
    <w:rsid w:val="00724C68"/>
    <w:rsid w:val="00725921"/>
    <w:rsid w:val="0072699A"/>
    <w:rsid w:val="00727F5A"/>
    <w:rsid w:val="007331A9"/>
    <w:rsid w:val="00733A03"/>
    <w:rsid w:val="0073560C"/>
    <w:rsid w:val="0073587B"/>
    <w:rsid w:val="00741BB8"/>
    <w:rsid w:val="00742CFF"/>
    <w:rsid w:val="00744B0C"/>
    <w:rsid w:val="0075461E"/>
    <w:rsid w:val="00755263"/>
    <w:rsid w:val="007706A7"/>
    <w:rsid w:val="0077116B"/>
    <w:rsid w:val="00771E8E"/>
    <w:rsid w:val="00780BE5"/>
    <w:rsid w:val="00781348"/>
    <w:rsid w:val="00786159"/>
    <w:rsid w:val="00792A0D"/>
    <w:rsid w:val="007941C4"/>
    <w:rsid w:val="007A2B61"/>
    <w:rsid w:val="007A3F1D"/>
    <w:rsid w:val="007A5007"/>
    <w:rsid w:val="007B27DB"/>
    <w:rsid w:val="007B4011"/>
    <w:rsid w:val="007C75F6"/>
    <w:rsid w:val="007D52D3"/>
    <w:rsid w:val="007D5773"/>
    <w:rsid w:val="007E1141"/>
    <w:rsid w:val="007F1D04"/>
    <w:rsid w:val="007F4CD8"/>
    <w:rsid w:val="007F634C"/>
    <w:rsid w:val="007F65BB"/>
    <w:rsid w:val="007F660A"/>
    <w:rsid w:val="00803AA9"/>
    <w:rsid w:val="00805738"/>
    <w:rsid w:val="008079FC"/>
    <w:rsid w:val="00823C7A"/>
    <w:rsid w:val="00823E68"/>
    <w:rsid w:val="00825BFA"/>
    <w:rsid w:val="00830C7C"/>
    <w:rsid w:val="00834735"/>
    <w:rsid w:val="00835634"/>
    <w:rsid w:val="0084415F"/>
    <w:rsid w:val="00846F55"/>
    <w:rsid w:val="00850069"/>
    <w:rsid w:val="0085103B"/>
    <w:rsid w:val="00853B99"/>
    <w:rsid w:val="0085729F"/>
    <w:rsid w:val="00875C39"/>
    <w:rsid w:val="00880E0C"/>
    <w:rsid w:val="00881925"/>
    <w:rsid w:val="00882E5F"/>
    <w:rsid w:val="00885C7B"/>
    <w:rsid w:val="008863C6"/>
    <w:rsid w:val="00887406"/>
    <w:rsid w:val="008907FC"/>
    <w:rsid w:val="00892C67"/>
    <w:rsid w:val="00893838"/>
    <w:rsid w:val="00893A91"/>
    <w:rsid w:val="00894677"/>
    <w:rsid w:val="008A1694"/>
    <w:rsid w:val="008A325B"/>
    <w:rsid w:val="008A4758"/>
    <w:rsid w:val="008B056F"/>
    <w:rsid w:val="008B133B"/>
    <w:rsid w:val="008B3860"/>
    <w:rsid w:val="008B73C5"/>
    <w:rsid w:val="008C20EE"/>
    <w:rsid w:val="008C39C2"/>
    <w:rsid w:val="008C430E"/>
    <w:rsid w:val="008C4C91"/>
    <w:rsid w:val="008D2A8F"/>
    <w:rsid w:val="008D64B4"/>
    <w:rsid w:val="008D750B"/>
    <w:rsid w:val="008D75D1"/>
    <w:rsid w:val="008E1871"/>
    <w:rsid w:val="008F0377"/>
    <w:rsid w:val="008F1D30"/>
    <w:rsid w:val="008F2723"/>
    <w:rsid w:val="008F5A3E"/>
    <w:rsid w:val="008F6BC3"/>
    <w:rsid w:val="008F7055"/>
    <w:rsid w:val="00901080"/>
    <w:rsid w:val="0090317F"/>
    <w:rsid w:val="009053F7"/>
    <w:rsid w:val="009060D0"/>
    <w:rsid w:val="00910FA5"/>
    <w:rsid w:val="00911EA8"/>
    <w:rsid w:val="00912A1A"/>
    <w:rsid w:val="009138C2"/>
    <w:rsid w:val="00917A89"/>
    <w:rsid w:val="00917BF5"/>
    <w:rsid w:val="00923789"/>
    <w:rsid w:val="00924BE4"/>
    <w:rsid w:val="00930326"/>
    <w:rsid w:val="00931346"/>
    <w:rsid w:val="00931477"/>
    <w:rsid w:val="009379D1"/>
    <w:rsid w:val="00944380"/>
    <w:rsid w:val="00944648"/>
    <w:rsid w:val="00952DA8"/>
    <w:rsid w:val="00960B4E"/>
    <w:rsid w:val="00965C0D"/>
    <w:rsid w:val="00970A28"/>
    <w:rsid w:val="00973B34"/>
    <w:rsid w:val="0097513E"/>
    <w:rsid w:val="00976A71"/>
    <w:rsid w:val="00981404"/>
    <w:rsid w:val="009875DB"/>
    <w:rsid w:val="00994569"/>
    <w:rsid w:val="00995CCE"/>
    <w:rsid w:val="009969FA"/>
    <w:rsid w:val="009A2CDF"/>
    <w:rsid w:val="009A477D"/>
    <w:rsid w:val="009B32B6"/>
    <w:rsid w:val="009B3DC4"/>
    <w:rsid w:val="009B7AAF"/>
    <w:rsid w:val="009B7BFC"/>
    <w:rsid w:val="009C0545"/>
    <w:rsid w:val="009C2EF5"/>
    <w:rsid w:val="009D3D4D"/>
    <w:rsid w:val="009E17A6"/>
    <w:rsid w:val="009E275F"/>
    <w:rsid w:val="009E6867"/>
    <w:rsid w:val="009F5615"/>
    <w:rsid w:val="009F7292"/>
    <w:rsid w:val="00A00916"/>
    <w:rsid w:val="00A11527"/>
    <w:rsid w:val="00A17329"/>
    <w:rsid w:val="00A237F6"/>
    <w:rsid w:val="00A24BA2"/>
    <w:rsid w:val="00A25F91"/>
    <w:rsid w:val="00A33B9D"/>
    <w:rsid w:val="00A43B2F"/>
    <w:rsid w:val="00A46B2B"/>
    <w:rsid w:val="00A472CA"/>
    <w:rsid w:val="00A53802"/>
    <w:rsid w:val="00A54290"/>
    <w:rsid w:val="00A570B5"/>
    <w:rsid w:val="00A60BDF"/>
    <w:rsid w:val="00A63A86"/>
    <w:rsid w:val="00A63B22"/>
    <w:rsid w:val="00A63E43"/>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C03BF"/>
    <w:rsid w:val="00AD14B8"/>
    <w:rsid w:val="00AD170E"/>
    <w:rsid w:val="00AD2542"/>
    <w:rsid w:val="00AD4085"/>
    <w:rsid w:val="00AD65A2"/>
    <w:rsid w:val="00AE6F17"/>
    <w:rsid w:val="00AE7811"/>
    <w:rsid w:val="00AF07DF"/>
    <w:rsid w:val="00AF1253"/>
    <w:rsid w:val="00AF16B2"/>
    <w:rsid w:val="00AF1BE8"/>
    <w:rsid w:val="00AF255D"/>
    <w:rsid w:val="00AF2D1D"/>
    <w:rsid w:val="00AF2DA7"/>
    <w:rsid w:val="00AF406F"/>
    <w:rsid w:val="00AF7D95"/>
    <w:rsid w:val="00B00DDE"/>
    <w:rsid w:val="00B05F35"/>
    <w:rsid w:val="00B11A8F"/>
    <w:rsid w:val="00B11FDF"/>
    <w:rsid w:val="00B145EF"/>
    <w:rsid w:val="00B17363"/>
    <w:rsid w:val="00B23819"/>
    <w:rsid w:val="00B30673"/>
    <w:rsid w:val="00B30A9A"/>
    <w:rsid w:val="00B336B6"/>
    <w:rsid w:val="00B34844"/>
    <w:rsid w:val="00B37246"/>
    <w:rsid w:val="00B374C9"/>
    <w:rsid w:val="00B41DF0"/>
    <w:rsid w:val="00B4298D"/>
    <w:rsid w:val="00B46642"/>
    <w:rsid w:val="00B46B4B"/>
    <w:rsid w:val="00B470D4"/>
    <w:rsid w:val="00B52EC3"/>
    <w:rsid w:val="00B67B9D"/>
    <w:rsid w:val="00B723A5"/>
    <w:rsid w:val="00B73D9C"/>
    <w:rsid w:val="00B74DA7"/>
    <w:rsid w:val="00B80C43"/>
    <w:rsid w:val="00B8633C"/>
    <w:rsid w:val="00B90CA2"/>
    <w:rsid w:val="00B91F9C"/>
    <w:rsid w:val="00B9469C"/>
    <w:rsid w:val="00BA158A"/>
    <w:rsid w:val="00BA4BF9"/>
    <w:rsid w:val="00BB38B9"/>
    <w:rsid w:val="00BB5E77"/>
    <w:rsid w:val="00BC0AA9"/>
    <w:rsid w:val="00BC22B4"/>
    <w:rsid w:val="00BC5752"/>
    <w:rsid w:val="00BD51A1"/>
    <w:rsid w:val="00BD6EF7"/>
    <w:rsid w:val="00BE0F6B"/>
    <w:rsid w:val="00BE21FE"/>
    <w:rsid w:val="00BF3231"/>
    <w:rsid w:val="00BF3266"/>
    <w:rsid w:val="00BF3E0A"/>
    <w:rsid w:val="00C03BB7"/>
    <w:rsid w:val="00C07736"/>
    <w:rsid w:val="00C1129D"/>
    <w:rsid w:val="00C116F3"/>
    <w:rsid w:val="00C12020"/>
    <w:rsid w:val="00C17376"/>
    <w:rsid w:val="00C30926"/>
    <w:rsid w:val="00C4463E"/>
    <w:rsid w:val="00C50AAD"/>
    <w:rsid w:val="00C51BC9"/>
    <w:rsid w:val="00C53E64"/>
    <w:rsid w:val="00C57B13"/>
    <w:rsid w:val="00C60459"/>
    <w:rsid w:val="00C6253C"/>
    <w:rsid w:val="00C63CE0"/>
    <w:rsid w:val="00C67016"/>
    <w:rsid w:val="00C72B5D"/>
    <w:rsid w:val="00C7667B"/>
    <w:rsid w:val="00C7752A"/>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3991"/>
    <w:rsid w:val="00D2663A"/>
    <w:rsid w:val="00D276AD"/>
    <w:rsid w:val="00D30127"/>
    <w:rsid w:val="00D3401E"/>
    <w:rsid w:val="00D34E1E"/>
    <w:rsid w:val="00D36DAE"/>
    <w:rsid w:val="00D37EEE"/>
    <w:rsid w:val="00D42B9E"/>
    <w:rsid w:val="00D44CA9"/>
    <w:rsid w:val="00D4528B"/>
    <w:rsid w:val="00D45556"/>
    <w:rsid w:val="00D50393"/>
    <w:rsid w:val="00D52B91"/>
    <w:rsid w:val="00D53D9F"/>
    <w:rsid w:val="00D543D3"/>
    <w:rsid w:val="00D5657B"/>
    <w:rsid w:val="00D67C8B"/>
    <w:rsid w:val="00D76654"/>
    <w:rsid w:val="00D77FB6"/>
    <w:rsid w:val="00D80AB1"/>
    <w:rsid w:val="00D82841"/>
    <w:rsid w:val="00D87962"/>
    <w:rsid w:val="00D93210"/>
    <w:rsid w:val="00DB5E49"/>
    <w:rsid w:val="00DC397A"/>
    <w:rsid w:val="00DD2DB2"/>
    <w:rsid w:val="00DD317C"/>
    <w:rsid w:val="00DE03EC"/>
    <w:rsid w:val="00DE05E9"/>
    <w:rsid w:val="00DE3AA2"/>
    <w:rsid w:val="00DE3C7A"/>
    <w:rsid w:val="00DE4BBA"/>
    <w:rsid w:val="00DE7804"/>
    <w:rsid w:val="00DF1BFB"/>
    <w:rsid w:val="00DF1E31"/>
    <w:rsid w:val="00DF25CB"/>
    <w:rsid w:val="00DF444C"/>
    <w:rsid w:val="00DF506D"/>
    <w:rsid w:val="00DF6177"/>
    <w:rsid w:val="00DF6DAB"/>
    <w:rsid w:val="00DF6F20"/>
    <w:rsid w:val="00E0005A"/>
    <w:rsid w:val="00E07A74"/>
    <w:rsid w:val="00E07BA4"/>
    <w:rsid w:val="00E13508"/>
    <w:rsid w:val="00E2212A"/>
    <w:rsid w:val="00E3613C"/>
    <w:rsid w:val="00E37F86"/>
    <w:rsid w:val="00E429D0"/>
    <w:rsid w:val="00E46523"/>
    <w:rsid w:val="00E514FE"/>
    <w:rsid w:val="00E60B79"/>
    <w:rsid w:val="00E61596"/>
    <w:rsid w:val="00E62A66"/>
    <w:rsid w:val="00E63ABD"/>
    <w:rsid w:val="00E71BFD"/>
    <w:rsid w:val="00E81F4F"/>
    <w:rsid w:val="00E92D70"/>
    <w:rsid w:val="00E93B66"/>
    <w:rsid w:val="00E93E2A"/>
    <w:rsid w:val="00E962C5"/>
    <w:rsid w:val="00EA09A3"/>
    <w:rsid w:val="00EA1385"/>
    <w:rsid w:val="00EA38DC"/>
    <w:rsid w:val="00EA52AC"/>
    <w:rsid w:val="00EB58B6"/>
    <w:rsid w:val="00EC176E"/>
    <w:rsid w:val="00EC2E82"/>
    <w:rsid w:val="00EC3B58"/>
    <w:rsid w:val="00EC51A5"/>
    <w:rsid w:val="00ED04C1"/>
    <w:rsid w:val="00ED0CC4"/>
    <w:rsid w:val="00ED1D5B"/>
    <w:rsid w:val="00ED6D4B"/>
    <w:rsid w:val="00EE2D72"/>
    <w:rsid w:val="00EE34F9"/>
    <w:rsid w:val="00EE448A"/>
    <w:rsid w:val="00EE6E74"/>
    <w:rsid w:val="00EE7336"/>
    <w:rsid w:val="00F00DB1"/>
    <w:rsid w:val="00F051FE"/>
    <w:rsid w:val="00F06CB5"/>
    <w:rsid w:val="00F12E59"/>
    <w:rsid w:val="00F21551"/>
    <w:rsid w:val="00F254CF"/>
    <w:rsid w:val="00F30864"/>
    <w:rsid w:val="00F33D36"/>
    <w:rsid w:val="00F354C7"/>
    <w:rsid w:val="00F361F4"/>
    <w:rsid w:val="00F40827"/>
    <w:rsid w:val="00F40E41"/>
    <w:rsid w:val="00F4108F"/>
    <w:rsid w:val="00F448F4"/>
    <w:rsid w:val="00F554BB"/>
    <w:rsid w:val="00F57300"/>
    <w:rsid w:val="00F577E0"/>
    <w:rsid w:val="00F6457A"/>
    <w:rsid w:val="00F655B4"/>
    <w:rsid w:val="00F655EE"/>
    <w:rsid w:val="00F65E63"/>
    <w:rsid w:val="00F71506"/>
    <w:rsid w:val="00F82D5C"/>
    <w:rsid w:val="00F83700"/>
    <w:rsid w:val="00F87949"/>
    <w:rsid w:val="00F9618B"/>
    <w:rsid w:val="00FA1875"/>
    <w:rsid w:val="00FA19D0"/>
    <w:rsid w:val="00FA2498"/>
    <w:rsid w:val="00FA4530"/>
    <w:rsid w:val="00FA5992"/>
    <w:rsid w:val="00FA73AA"/>
    <w:rsid w:val="00FB26BA"/>
    <w:rsid w:val="00FB37D2"/>
    <w:rsid w:val="00FB4858"/>
    <w:rsid w:val="00FC4D44"/>
    <w:rsid w:val="00FD02B7"/>
    <w:rsid w:val="00FE01F4"/>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AA"/>
    <w:pPr>
      <w:spacing w:after="120" w:line="264" w:lineRule="auto"/>
      <w:jc w:val="both"/>
    </w:pPr>
  </w:style>
  <w:style w:type="paragraph" w:styleId="Ttulo1">
    <w:name w:val="heading 1"/>
    <w:basedOn w:val="Normal"/>
    <w:next w:val="Normal"/>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contextualSpacing/>
    </w:pPr>
  </w:style>
  <w:style w:type="paragraph" w:customStyle="1" w:styleId="BulletsNivel2">
    <w:name w:val="Bullets Nivel 2"/>
    <w:qFormat/>
    <w:rsid w:val="00270D84"/>
    <w:pPr>
      <w:numPr>
        <w:ilvl w:val="1"/>
        <w:numId w:val="14"/>
      </w:numPr>
      <w:spacing w:after="120"/>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semiHidden/>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 w:type="character" w:customStyle="1" w:styleId="bold">
    <w:name w:val="bold"/>
    <w:basedOn w:val="Fuentedeprrafopredeter"/>
    <w:rsid w:val="00063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lex.europa.eu/legal-content/ES/TXT/HTML/?uri=CELEX:32016R0679&amp;from=es" TargetMode="External"/><Relationship Id="rId18" Type="http://schemas.openxmlformats.org/officeDocument/2006/relationships/hyperlink" Target="https://www.incibe.es/protege-tu-empresa/blog/borrar-informacion-dispositivo-cibersegurida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cibe.es/protege-tu-empresa/blog/borrar-informacion-dispositivo-cibersegurida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cibe.es/protege-tu-empresa/herramientas/politicas" TargetMode="External"/><Relationship Id="rId20" Type="http://schemas.openxmlformats.org/officeDocument/2006/relationships/hyperlink" Target="https://www.incibe.es/protege-tu-empresa/blog/borrado-destruccion-segura-sopor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incibe.es/protege-tu-empresa/herramientas/politicas"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ww.incibe.es/protege-tu-empresa/blog/borrado-destruccion-segura-soport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cibe.es/protege-tu-empresa/guias/borrado-seguro-informacion-aproximacion-el-empresario"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D7135-CAA7-4FF3-A662-CED762353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1485</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9634</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2018-10-09T13:21:00Z</dcterms:created>
  <dcterms:modified xsi:type="dcterms:W3CDTF">2018-10-09T13:21:00Z</dcterms:modified>
</cp:coreProperties>
</file>